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805" w:rsidRDefault="00852EDD">
      <w:pPr>
        <w:pStyle w:val="Tytu"/>
        <w:spacing w:before="12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PROTOKÓŁ</w:t>
      </w:r>
    </w:p>
    <w:p w:rsidR="003E2805" w:rsidRDefault="00852EDD">
      <w:pPr>
        <w:pStyle w:val="Podtytu"/>
        <w:spacing w:before="120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posiedzenia Rady Naukowej Dyscypliny Filozofia</w:t>
      </w:r>
    </w:p>
    <w:p w:rsidR="003E2805" w:rsidRDefault="00852EDD">
      <w:pPr>
        <w:pStyle w:val="Podtytu"/>
        <w:spacing w:before="120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z dnia 19 marca 2024 r.</w:t>
      </w:r>
    </w:p>
    <w:p w:rsidR="003E2805" w:rsidRDefault="003E2805">
      <w:pPr>
        <w:spacing w:after="240" w:line="240" w:lineRule="auto"/>
        <w:ind w:left="1440" w:right="1593"/>
        <w:jc w:val="center"/>
      </w:pPr>
    </w:p>
    <w:p w:rsidR="003E2805" w:rsidRDefault="00852EDD">
      <w:r>
        <w:rPr>
          <w:b/>
        </w:rPr>
        <w:t xml:space="preserve">Przewodnicząca Rady Naukowej Dyscypliny Filozofia (dalej: Rady), prof. dr hab. Katarzyna </w:t>
      </w:r>
      <w:proofErr w:type="spellStart"/>
      <w:r>
        <w:rPr>
          <w:b/>
        </w:rPr>
        <w:t>Paprzycka-Hausman</w:t>
      </w:r>
      <w:proofErr w:type="spellEnd"/>
      <w:r>
        <w:t>, otworzyła zdalne posiedzenie Rady realizowane za pośrednictwem komunikatora ZOOM. Poinformowała zgromadzonych, że – zgodnie z Zarządzeniem Rektora nr 115 z dnia 3 lipca 2023 r. w sprawie organizacji posiedzeń organów, podmiotów kolegialnych i innych grem</w:t>
      </w:r>
      <w:r>
        <w:t xml:space="preserve">iów w trybie zdalnym – posiedzenie będzie nagrywane na potrzeby sporządzenia protokołu. Prof. </w:t>
      </w:r>
      <w:proofErr w:type="spellStart"/>
      <w:r>
        <w:t>Paprzycka-Hausman</w:t>
      </w:r>
      <w:proofErr w:type="spellEnd"/>
      <w:r>
        <w:t xml:space="preserve"> powitała zebranych członków Rady i zaproszonych gości: członków Komisji Habilitacyjnych w postępowaniach o nadanie stopnia doktora habilitowaneg</w:t>
      </w:r>
      <w:r>
        <w:t xml:space="preserve">o. </w:t>
      </w:r>
    </w:p>
    <w:p w:rsidR="003E2805" w:rsidRDefault="00852EDD">
      <w:pPr>
        <w:pBdr>
          <w:top w:val="nil"/>
          <w:left w:val="nil"/>
          <w:bottom w:val="nil"/>
          <w:right w:val="nil"/>
          <w:between w:val="nil"/>
        </w:pBdr>
        <w:ind w:firstLine="709"/>
      </w:pPr>
      <w:r>
        <w:t xml:space="preserve">Następnie </w:t>
      </w:r>
      <w:r>
        <w:rPr>
          <w:b/>
        </w:rPr>
        <w:t>Przewodnicząca</w:t>
      </w:r>
      <w:r>
        <w:t xml:space="preserve"> sprawdziła obecność, identyfikując uczestników posiedzenia, oraz ogłosiła, że spełniony jest wymóg kworum. </w:t>
      </w:r>
    </w:p>
    <w:p w:rsidR="003E2805" w:rsidRDefault="00852EDD">
      <w:pPr>
        <w:pBdr>
          <w:top w:val="nil"/>
          <w:left w:val="nil"/>
          <w:bottom w:val="nil"/>
          <w:right w:val="nil"/>
          <w:between w:val="nil"/>
        </w:pBdr>
        <w:ind w:firstLine="709"/>
      </w:pPr>
      <w:r>
        <w:t>Przewodnicząca przypomniała, że najlepiej jest sygnalizować chęć zabrania głosu za pomocą czatu. Poprosiła wszystkich c</w:t>
      </w:r>
      <w:r>
        <w:t xml:space="preserve">złonków Rady o uruchomienie czatu. Na czacie udostępniane będą linki do głosowania, a także wyświetlane będą wyniki głosowań. </w:t>
      </w:r>
    </w:p>
    <w:p w:rsidR="003E2805" w:rsidRDefault="00852EDD">
      <w:pPr>
        <w:pStyle w:val="Nagwek1"/>
        <w:numPr>
          <w:ilvl w:val="0"/>
          <w:numId w:val="2"/>
        </w:numPr>
      </w:pPr>
      <w:r>
        <w:t xml:space="preserve">Przyjęcie porządku obrad </w:t>
      </w:r>
    </w:p>
    <w:p w:rsidR="003E2805" w:rsidRDefault="00852EDD">
      <w:pPr>
        <w:pBdr>
          <w:top w:val="nil"/>
          <w:left w:val="nil"/>
          <w:bottom w:val="nil"/>
          <w:right w:val="nil"/>
          <w:between w:val="nil"/>
        </w:pBdr>
        <w:ind w:firstLine="709"/>
      </w:pPr>
      <w:r>
        <w:rPr>
          <w:b/>
        </w:rPr>
        <w:t>Przewodnicząca</w:t>
      </w:r>
      <w:r>
        <w:t xml:space="preserve"> </w:t>
      </w:r>
      <w:r>
        <w:rPr>
          <w:color w:val="000000"/>
        </w:rPr>
        <w:t>poinformowała, że do porządku obrad przesłanego 12 marca 2024 r. nie zostały zgłoszone z</w:t>
      </w:r>
      <w:r>
        <w:rPr>
          <w:color w:val="000000"/>
        </w:rPr>
        <w:t>miany.</w:t>
      </w:r>
    </w:p>
    <w:p w:rsidR="003E2805" w:rsidRDefault="00852EDD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</w:pPr>
      <w:r>
        <w:rPr>
          <w:b/>
        </w:rPr>
        <w:t>Przewodnicząca</w:t>
      </w:r>
      <w:r>
        <w:t xml:space="preserve"> zwróciła się do członków Rady o uwagi lub zgłoszenia innych punktów. Wobec braku głosów zarządziła jawne głosowanie w sprawie przyjęcia zaproponowanego porządku obrad.</w:t>
      </w:r>
    </w:p>
    <w:p w:rsidR="003E2805" w:rsidRDefault="00852EDD">
      <w:pPr>
        <w:spacing w:before="240" w:after="120"/>
      </w:pPr>
      <w:r>
        <w:t xml:space="preserve">Wyniki głosowania: </w:t>
      </w:r>
    </w:p>
    <w:tbl>
      <w:tblPr>
        <w:tblStyle w:val="a6"/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6"/>
        <w:gridCol w:w="1756"/>
        <w:gridCol w:w="1757"/>
        <w:gridCol w:w="1757"/>
        <w:gridCol w:w="1757"/>
      </w:tblGrid>
      <w:tr w:rsidR="003E2805">
        <w:trPr>
          <w:trHeight w:val="279"/>
        </w:trPr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uprawnieni do głosowania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oddane głosy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przeciw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wstrzymujące się</w:t>
            </w:r>
          </w:p>
        </w:tc>
      </w:tr>
      <w:tr w:rsidR="003E2805">
        <w:trPr>
          <w:trHeight w:val="432"/>
        </w:trPr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E2805" w:rsidRDefault="003E2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</w:p>
    <w:p w:rsidR="003E2805" w:rsidRDefault="00852ED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</w:pPr>
      <w:r>
        <w:lastRenderedPageBreak/>
        <w:t>Członkowie Rady  przyjęli następujący porządek obrad:</w:t>
      </w:r>
    </w:p>
    <w:p w:rsidR="003E2805" w:rsidRDefault="003E280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</w:pPr>
    </w:p>
    <w:p w:rsidR="003E2805" w:rsidRDefault="00852ED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2" w:hanging="357"/>
      </w:pPr>
      <w:r>
        <w:t>Informacje Przewodniczącej.</w:t>
      </w:r>
    </w:p>
    <w:p w:rsidR="003E2805" w:rsidRDefault="00852E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2" w:hanging="357"/>
        <w:rPr>
          <w:color w:val="000000"/>
        </w:rPr>
      </w:pPr>
      <w:r>
        <w:rPr>
          <w:color w:val="000000"/>
        </w:rPr>
        <w:t xml:space="preserve">Uchwała w sprawie nadania stopnia doktora habilitowanego dr. </w:t>
      </w:r>
      <w:proofErr w:type="spellStart"/>
      <w:r>
        <w:rPr>
          <w:color w:val="000000"/>
        </w:rPr>
        <w:t>Ivanovi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Dimitrijeviciowi</w:t>
      </w:r>
      <w:proofErr w:type="spellEnd"/>
      <w:r>
        <w:rPr>
          <w:color w:val="000000"/>
        </w:rPr>
        <w:t xml:space="preserve"> (referuje: dr hab. Urszula Zbrzeźniak).</w:t>
      </w:r>
    </w:p>
    <w:p w:rsidR="003E2805" w:rsidRDefault="00852E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2" w:hanging="357"/>
        <w:rPr>
          <w:color w:val="000000"/>
        </w:rPr>
      </w:pPr>
      <w:r>
        <w:rPr>
          <w:color w:val="000000"/>
        </w:rPr>
        <w:t xml:space="preserve">Uchwała w sprawie nadania stopnia doktora habilitowanego dr. Antonio </w:t>
      </w:r>
      <w:proofErr w:type="spellStart"/>
      <w:r>
        <w:rPr>
          <w:color w:val="000000"/>
        </w:rPr>
        <w:t>Vassallo</w:t>
      </w:r>
      <w:proofErr w:type="spellEnd"/>
      <w:r>
        <w:rPr>
          <w:color w:val="000000"/>
        </w:rPr>
        <w:t xml:space="preserve"> (referuje: prof. dr hab. Anna Brożek).</w:t>
      </w:r>
    </w:p>
    <w:p w:rsidR="003E2805" w:rsidRDefault="00852E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2" w:hanging="357"/>
        <w:rPr>
          <w:color w:val="000000"/>
        </w:rPr>
      </w:pPr>
      <w:r>
        <w:rPr>
          <w:color w:val="222222"/>
        </w:rPr>
        <w:t xml:space="preserve">Uchwała w sprawie wyznaczenia przedstawiciela Rady Naukowej Dyscypliny Filozofia do składu </w:t>
      </w:r>
      <w:r>
        <w:rPr>
          <w:color w:val="222222"/>
          <w:highlight w:val="white"/>
        </w:rPr>
        <w:t xml:space="preserve"> Zespołów Kwalifikacyjnych </w:t>
      </w:r>
      <w:proofErr w:type="spellStart"/>
      <w:r>
        <w:rPr>
          <w:color w:val="222222"/>
          <w:highlight w:val="white"/>
        </w:rPr>
        <w:t>Międzydziedzinowej</w:t>
      </w:r>
      <w:proofErr w:type="spellEnd"/>
      <w:r>
        <w:rPr>
          <w:color w:val="222222"/>
          <w:highlight w:val="white"/>
        </w:rPr>
        <w:t xml:space="preserve"> Sz</w:t>
      </w:r>
      <w:r>
        <w:rPr>
          <w:color w:val="222222"/>
          <w:highlight w:val="white"/>
        </w:rPr>
        <w:t>koły Doktorskiej.</w:t>
      </w:r>
    </w:p>
    <w:p w:rsidR="003E2805" w:rsidRDefault="00852E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2" w:hanging="357"/>
        <w:rPr>
          <w:color w:val="222222"/>
        </w:rPr>
      </w:pPr>
      <w:r>
        <w:rPr>
          <w:color w:val="222222"/>
        </w:rPr>
        <w:t xml:space="preserve">Uchwała w sprawie wyznaczenia przedstawiciela Rady Naukowej Dyscypliny Filozofia do składu </w:t>
      </w:r>
      <w:r>
        <w:rPr>
          <w:color w:val="222222"/>
          <w:highlight w:val="white"/>
        </w:rPr>
        <w:t> Zespołów Kwalifikacyjnych  Szkoły Doktorskiej Nauk Humanistycznych.</w:t>
      </w:r>
    </w:p>
    <w:p w:rsidR="003E2805" w:rsidRDefault="00852E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2" w:hanging="357"/>
        <w:rPr>
          <w:color w:val="000000"/>
        </w:rPr>
      </w:pPr>
      <w:r>
        <w:rPr>
          <w:color w:val="000000"/>
        </w:rPr>
        <w:t>Głosowanie w sprawie przyjęcia protokołu z dnia 20 lutego 2024 r.</w:t>
      </w:r>
    </w:p>
    <w:p w:rsidR="003E2805" w:rsidRDefault="00852ED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2" w:hanging="357"/>
      </w:pPr>
      <w:r>
        <w:rPr>
          <w:color w:val="000000"/>
        </w:rPr>
        <w:t>Sprawy różne</w:t>
      </w:r>
      <w:r>
        <w:rPr>
          <w:color w:val="000000"/>
        </w:rPr>
        <w:t xml:space="preserve"> i wolne wnioski.</w:t>
      </w:r>
    </w:p>
    <w:p w:rsidR="003E2805" w:rsidRDefault="00852EDD">
      <w:pPr>
        <w:pStyle w:val="Nagwek1"/>
        <w:spacing w:line="240" w:lineRule="auto"/>
      </w:pPr>
      <w:r>
        <w:t xml:space="preserve">2. Informacje Przewodniczącej </w:t>
      </w:r>
    </w:p>
    <w:p w:rsidR="003E2805" w:rsidRDefault="00852E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Przewodnicząca </w:t>
      </w:r>
      <w:r>
        <w:rPr>
          <w:color w:val="000000"/>
        </w:rPr>
        <w:t>przypomniała, że w związku z procedowaniem dwóch spraw dotyczących nadania stopnia doktora habilitowanego, członkowie Rady rozstrzygają, czy Habilitant posiada w dorobku osiągnięcie naukowe st</w:t>
      </w:r>
      <w:r>
        <w:rPr>
          <w:color w:val="000000"/>
        </w:rPr>
        <w:t xml:space="preserve">anowiące znaczny wkład w rozwój dyscypliny </w:t>
      </w:r>
      <w:r>
        <w:rPr>
          <w:i/>
          <w:color w:val="000000"/>
        </w:rPr>
        <w:t>filozofia</w:t>
      </w:r>
      <w:r>
        <w:rPr>
          <w:color w:val="000000"/>
        </w:rPr>
        <w:t xml:space="preserve"> i czy wykazuje się istotną aktywnością naukową realizowaną w więcej niż jednej uczelni i instytucji naukowej lub instytucji kultury w szczególności zagranicznej. Obie przesłanki muszą być spełnione, aby </w:t>
      </w:r>
      <w:r>
        <w:rPr>
          <w:color w:val="000000"/>
        </w:rPr>
        <w:t>zdecydować o nadaniu stopnia doktora habilitowanego.</w:t>
      </w:r>
    </w:p>
    <w:p w:rsidR="003E2805" w:rsidRDefault="00852EDD">
      <w:pPr>
        <w:pStyle w:val="Nagwek1"/>
      </w:pPr>
      <w:r>
        <w:t xml:space="preserve">3. Uchwała w </w:t>
      </w:r>
      <w:r>
        <w:rPr>
          <w:color w:val="222222"/>
        </w:rPr>
        <w:t>sprawie na</w:t>
      </w:r>
      <w:r>
        <w:t xml:space="preserve">dania stopnia doktora habilitowanego dr. </w:t>
      </w:r>
      <w:proofErr w:type="spellStart"/>
      <w:r>
        <w:t>Ivanovi</w:t>
      </w:r>
      <w:proofErr w:type="spellEnd"/>
      <w:r>
        <w:t xml:space="preserve"> </w:t>
      </w:r>
      <w:proofErr w:type="spellStart"/>
      <w:r>
        <w:t>Dimitrijeviciowi</w:t>
      </w:r>
      <w:proofErr w:type="spellEnd"/>
      <w:r>
        <w:t xml:space="preserve"> (referuje: dr hab. Urszula Zbrzeźniak).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Przewodnicząca</w:t>
      </w:r>
      <w:r>
        <w:t xml:space="preserve"> zwróciła się z prośbą do dr hab. Urszuli Zbrzeźniak, sekretarz Komisji Habilitacyjnej, o przypomnienie członkom Rady toku postępowania oraz uchwały Komisji Habilitacyjnej.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Prof. Zbrzeźniak </w:t>
      </w:r>
      <w:r>
        <w:t xml:space="preserve">przypomniała, że dr </w:t>
      </w:r>
      <w:proofErr w:type="spellStart"/>
      <w:r>
        <w:t>Dimitrijević</w:t>
      </w:r>
      <w:proofErr w:type="spellEnd"/>
      <w:r>
        <w:t xml:space="preserve"> złożył do Rady Doskonałości Nauk</w:t>
      </w:r>
      <w:r>
        <w:t xml:space="preserve">owej wniosek o przeprowadzenie postępowania w sprawie nadania stopnia doktora habilitowanego w dziedzinie nauk humanistycznych w dyscyplinie </w:t>
      </w:r>
      <w:r>
        <w:rPr>
          <w:i/>
        </w:rPr>
        <w:t>filozofia</w:t>
      </w:r>
      <w:r>
        <w:t xml:space="preserve"> na podstawie monografii naukowej: „Dysputa o dziele” opublikowanej przez wydawnictwo Fundacja Augusta hr.</w:t>
      </w:r>
      <w:r>
        <w:t xml:space="preserve"> Cieszkowskiego w 2022 r.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Prof. Zbrzeźniak przypomniała skład Komisji Habilitacyjnej: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</w:pPr>
      <w:r>
        <w:lastRenderedPageBreak/>
        <w:t xml:space="preserve">1) prof. dr hab. Andrzej </w:t>
      </w:r>
      <w:proofErr w:type="spellStart"/>
      <w:r>
        <w:t>Szahaj</w:t>
      </w:r>
      <w:proofErr w:type="spellEnd"/>
      <w:r>
        <w:t xml:space="preserve"> (Uniwersytet Mikołaja Kopernika w Toruniu) – przewodniczący;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</w:pPr>
      <w:r>
        <w:t>2) dr hab. Agata Bielik-</w:t>
      </w:r>
      <w:proofErr w:type="spellStart"/>
      <w:r>
        <w:t>Robson</w:t>
      </w:r>
      <w:proofErr w:type="spellEnd"/>
      <w:r>
        <w:t xml:space="preserve">, prof. </w:t>
      </w:r>
      <w:proofErr w:type="spellStart"/>
      <w:r>
        <w:t>IFiS</w:t>
      </w:r>
      <w:proofErr w:type="spellEnd"/>
      <w:r>
        <w:t xml:space="preserve"> PAN (Polska Akademia Nauk, Univ</w:t>
      </w:r>
      <w:r>
        <w:t xml:space="preserve">ersity of Nottingham) – recenzent;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</w:pPr>
      <w:r>
        <w:t xml:space="preserve">3) prof. dr hab. Adam Chmielewski (Uniwersytet Wrocławski) – recenzent;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</w:pPr>
      <w:r>
        <w:t xml:space="preserve">4) prof. dr hab. Zbigniew Drozdowicz (Uniwersytet im. Adama Mickiewicza w Poznaniu) –– recenzent;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</w:pPr>
      <w:r>
        <w:t xml:space="preserve">5) dr hab. Piotr </w:t>
      </w:r>
      <w:proofErr w:type="spellStart"/>
      <w:r>
        <w:t>Schollenberger</w:t>
      </w:r>
      <w:proofErr w:type="spellEnd"/>
      <w:r>
        <w:t xml:space="preserve">  (Uniwersytet Warszawski) – członek komisji;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</w:pPr>
      <w:r>
        <w:t xml:space="preserve">6) dr hab. Piotr Świercz (Akademia </w:t>
      </w:r>
      <w:proofErr w:type="spellStart"/>
      <w:r>
        <w:t>Ignatianum</w:t>
      </w:r>
      <w:proofErr w:type="spellEnd"/>
      <w:r>
        <w:t xml:space="preserve"> w Krakowie) – recenzent;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</w:pPr>
      <w:r>
        <w:t>7) dr hab. Urszula Zbrzeźniak</w:t>
      </w:r>
      <w:r>
        <w:tab/>
        <w:t xml:space="preserve"> (Uniwersytet Warszawski) – sekretarz.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Następnie </w:t>
      </w:r>
      <w:r>
        <w:rPr>
          <w:b/>
        </w:rPr>
        <w:t xml:space="preserve">prof. Zbrzeźniak </w:t>
      </w:r>
      <w:r>
        <w:t>przypomni</w:t>
      </w:r>
      <w:r>
        <w:t xml:space="preserve">ała, że kolokwium habilitacyjne dr. Ivana </w:t>
      </w:r>
      <w:proofErr w:type="spellStart"/>
      <w:r>
        <w:t>Dimitrijevicia</w:t>
      </w:r>
      <w:proofErr w:type="spellEnd"/>
      <w:r>
        <w:t xml:space="preserve"> odbyło się w dniu 8 stycznia 2024 r. w formie zdalnej. Prof. Zbrzeźniak podkreśliła, że wszystkie recenzje kończyły się pozytywnymi konkluzjami, choć zawierały szereg uwag krytycznych oraz ogólnych i</w:t>
      </w:r>
      <w:r>
        <w:t xml:space="preserve"> szczegółowych polemik z Habilitantem. Prof. Zbrzeźniak przedstawiła przebieg kolokwium habilitacyjnego odczytując najważniejsze fragmenty protokołu z kolokwium habilitacyjnego oraz recenzji. </w:t>
      </w:r>
    </w:p>
    <w:p w:rsidR="003E2805" w:rsidRDefault="00852EDD">
      <w:r>
        <w:t>Kolokwium habilitacyjne rozpoczęło się prezentacją założenia os</w:t>
      </w:r>
      <w:r>
        <w:t xml:space="preserve">iągnięcia naukowego Habilitanta stanowiącego podstawę ubiegania się o nadanie stopnia doktora habilitowanego. Swoje wystąpienie Habilitant rozpoczął od poruszenia kwestii metodologicznej, która jest zakorzeniona w padewskiej historii pojęć i  która wynika </w:t>
      </w:r>
      <w:r>
        <w:t xml:space="preserve">z krytyki </w:t>
      </w:r>
      <w:proofErr w:type="spellStart"/>
      <w:r>
        <w:t>Begriffsgeschichte</w:t>
      </w:r>
      <w:proofErr w:type="spellEnd"/>
      <w:r>
        <w:t xml:space="preserve"> kojarzonej z </w:t>
      </w:r>
      <w:proofErr w:type="spellStart"/>
      <w:r>
        <w:t>Reinhartem</w:t>
      </w:r>
      <w:proofErr w:type="spellEnd"/>
      <w:r>
        <w:t xml:space="preserve"> </w:t>
      </w:r>
      <w:proofErr w:type="spellStart"/>
      <w:r>
        <w:t>Koselleckiem</w:t>
      </w:r>
      <w:proofErr w:type="spellEnd"/>
      <w:r>
        <w:t>. Wystąpienie Habilitanta stanowiło odpowiedź na niektóre zarzuty pojawiające się w recenzjach prof. dr. hab. Zbigniewa  Drozdowicza i dr. hab. Piotra Świercza wskazujące, że zarówno obszar p</w:t>
      </w:r>
      <w:r>
        <w:t xml:space="preserve">roblemowy, jakim Habilitant się zajmuje,  język, jakim się posługuje, jak i metodologia mogą budzić wątpliwości co do jednoznacznego zakwalifikowania dzieła. </w:t>
      </w:r>
    </w:p>
    <w:p w:rsidR="003E2805" w:rsidRDefault="00852EDD">
      <w:pPr>
        <w:ind w:firstLine="708"/>
      </w:pPr>
      <w:r>
        <w:t xml:space="preserve">Następnie Habilitant przeszedł do głównej tezy, którą przyjął w rozprawie „Dysputa o dziele”. Dr </w:t>
      </w:r>
      <w:proofErr w:type="spellStart"/>
      <w:r>
        <w:t>Dimitrijević</w:t>
      </w:r>
      <w:proofErr w:type="spellEnd"/>
      <w:r>
        <w:t xml:space="preserve"> odniósł się do najbardziej problematycznej i dyskusyjnej kwestii jaką stanowiła filozofia </w:t>
      </w:r>
      <w:proofErr w:type="spellStart"/>
      <w:r>
        <w:t>Agambena</w:t>
      </w:r>
      <w:proofErr w:type="spellEnd"/>
      <w:r>
        <w:t xml:space="preserve"> i sposobu, w jaki Giorgio </w:t>
      </w:r>
      <w:proofErr w:type="spellStart"/>
      <w:r>
        <w:t>Agamben</w:t>
      </w:r>
      <w:proofErr w:type="spellEnd"/>
      <w:r>
        <w:t xml:space="preserve"> definiuje zarówno historię filozofii zachodniej, jak i  historię zachodniej polityki. Habilitant nakreślił spe</w:t>
      </w:r>
      <w:r>
        <w:t xml:space="preserve">cyfikę stanowiska </w:t>
      </w:r>
      <w:proofErr w:type="spellStart"/>
      <w:r>
        <w:t>Agambena</w:t>
      </w:r>
      <w:proofErr w:type="spellEnd"/>
      <w:r>
        <w:t xml:space="preserve">, sposób w jaki wyraża on swoje przekonanie o </w:t>
      </w:r>
      <w:proofErr w:type="spellStart"/>
      <w:r>
        <w:t>biopolitycznym</w:t>
      </w:r>
      <w:proofErr w:type="spellEnd"/>
      <w:r>
        <w:t xml:space="preserve"> ukierunkowaniu współczesnej filozofii i polityki, a także zaznaczył związek między </w:t>
      </w:r>
      <w:proofErr w:type="spellStart"/>
      <w:r>
        <w:t>biopolityczną</w:t>
      </w:r>
      <w:proofErr w:type="spellEnd"/>
      <w:r>
        <w:t xml:space="preserve"> koncepcją filozofii i polityki z pojęciem nagiego życia.</w:t>
      </w:r>
    </w:p>
    <w:p w:rsidR="003E2805" w:rsidRDefault="00852EDD">
      <w:pPr>
        <w:ind w:firstLine="708"/>
      </w:pPr>
      <w:r>
        <w:lastRenderedPageBreak/>
        <w:t xml:space="preserve"> Następnie Habi</w:t>
      </w:r>
      <w:r>
        <w:t xml:space="preserve">litant przeszedł od koncepcji </w:t>
      </w:r>
      <w:proofErr w:type="spellStart"/>
      <w:r>
        <w:t>Agambenowskiej</w:t>
      </w:r>
      <w:proofErr w:type="spellEnd"/>
      <w:r>
        <w:t xml:space="preserve"> do rozważań dotyczących historycznych źródeł tego, co </w:t>
      </w:r>
      <w:proofErr w:type="spellStart"/>
      <w:r>
        <w:t>Agamben</w:t>
      </w:r>
      <w:proofErr w:type="spellEnd"/>
      <w:r>
        <w:t xml:space="preserve"> diagnozuje jako współczesną </w:t>
      </w:r>
      <w:proofErr w:type="spellStart"/>
      <w:r>
        <w:t>biopolitykę</w:t>
      </w:r>
      <w:proofErr w:type="spellEnd"/>
      <w:r>
        <w:t>.</w:t>
      </w:r>
    </w:p>
    <w:p w:rsidR="003E2805" w:rsidRDefault="00852EDD">
      <w:pPr>
        <w:ind w:firstLine="708"/>
      </w:pPr>
      <w:r>
        <w:t>W tej części prezentacji Habilitant wprowadził również te pojęcia, które były  kluczowe w jego rozprawie, cz</w:t>
      </w:r>
      <w:r>
        <w:t xml:space="preserve">yli pojęcie </w:t>
      </w:r>
      <w:proofErr w:type="spellStart"/>
      <w:r>
        <w:rPr>
          <w:i/>
        </w:rPr>
        <w:t>ergon</w:t>
      </w:r>
      <w:proofErr w:type="spellEnd"/>
      <w:r>
        <w:t xml:space="preserve">, tak jak posługiwał się nim Arystoteles, ale także jak twierdzi Habilitant Platon, zaznaczył też pojęcie </w:t>
      </w:r>
      <w:proofErr w:type="spellStart"/>
      <w:r>
        <w:rPr>
          <w:i/>
        </w:rPr>
        <w:t>praxis</w:t>
      </w:r>
      <w:proofErr w:type="spellEnd"/>
      <w:r>
        <w:t xml:space="preserve"> oraz </w:t>
      </w:r>
      <w:proofErr w:type="spellStart"/>
      <w:r>
        <w:rPr>
          <w:i/>
        </w:rPr>
        <w:t>techne</w:t>
      </w:r>
      <w:proofErr w:type="spellEnd"/>
      <w:r>
        <w:rPr>
          <w:i/>
        </w:rPr>
        <w:t xml:space="preserve"> </w:t>
      </w:r>
      <w:r>
        <w:t xml:space="preserve">i związek między nimi.  Habilitant odniósł się również do pojęcia </w:t>
      </w:r>
      <w:proofErr w:type="spellStart"/>
      <w:r>
        <w:rPr>
          <w:i/>
        </w:rPr>
        <w:t>autarkeia</w:t>
      </w:r>
      <w:proofErr w:type="spellEnd"/>
      <w:r>
        <w:rPr>
          <w:i/>
        </w:rPr>
        <w:t>,</w:t>
      </w:r>
      <w:r>
        <w:t xml:space="preserve"> które tłumaczył jako niezależność i w</w:t>
      </w:r>
      <w:r>
        <w:t xml:space="preserve">olność. Zarys historyczny stanowił  historyczne dopełnienie najbardziej zasadniczych rozważań poświęconych </w:t>
      </w:r>
      <w:proofErr w:type="spellStart"/>
      <w:r>
        <w:t>Agambenowi</w:t>
      </w:r>
      <w:proofErr w:type="spellEnd"/>
      <w:r>
        <w:t>.</w:t>
      </w:r>
    </w:p>
    <w:p w:rsidR="003E2805" w:rsidRDefault="00852EDD">
      <w:pPr>
        <w:ind w:firstLine="708"/>
      </w:pPr>
      <w:r>
        <w:t>Następnie Habilitant odniósł się do myśli Hobbesa, który w jego  pracy traktowany jest w sposób niezwykle krytyczny, jako swoisty kontrap</w:t>
      </w:r>
      <w:r>
        <w:t xml:space="preserve">unkt dla tradycji antycznej uosabianej przez Arystotelesa. Habilitant postarał się podsumować swój sposób interpretowania filozofii politycznej Hobbesa, która w oczach dr. </w:t>
      </w:r>
      <w:proofErr w:type="spellStart"/>
      <w:r>
        <w:t>Dimitrojevivia</w:t>
      </w:r>
      <w:proofErr w:type="spellEnd"/>
      <w:r>
        <w:t xml:space="preserve"> stanowi próg wyznaczający zasadniczą zmianę w dziejach filozofii, ale</w:t>
      </w:r>
      <w:r>
        <w:t xml:space="preserve"> także w dziejach polityki. </w:t>
      </w:r>
    </w:p>
    <w:p w:rsidR="003E2805" w:rsidRDefault="00852EDD">
      <w:pPr>
        <w:ind w:firstLine="708"/>
      </w:pPr>
      <w:r>
        <w:t xml:space="preserve">Powołując się na Arystotelesa, </w:t>
      </w:r>
      <w:proofErr w:type="spellStart"/>
      <w:r>
        <w:t>Agambena</w:t>
      </w:r>
      <w:proofErr w:type="spellEnd"/>
      <w:r>
        <w:t xml:space="preserve"> i Hobbesa, Habilitant chciał pokazać  różne koncepcje polityki i różnicę w postrzeganiu polityki związaną z pewnym specyficznym sposobem myślenia o dziele i pewnego rodzaju aktywności, która realizowana jest w polity</w:t>
      </w:r>
      <w:r>
        <w:t>ce lub poza nią. Zamiarem Habilitanta było dokonanie wewnętrznej analizy tych trzech filozofii i  sposobów myślenia oraz pokazać możliwości i ograniczenia, które każda z nich posiada.</w:t>
      </w:r>
    </w:p>
    <w:p w:rsidR="003E2805" w:rsidRDefault="00852EDD">
      <w:r>
        <w:t xml:space="preserve">Następnie </w:t>
      </w:r>
      <w:r>
        <w:rPr>
          <w:b/>
        </w:rPr>
        <w:t>prof. Zbrzeźniak</w:t>
      </w:r>
      <w:r>
        <w:t xml:space="preserve"> przedstawiła najważniejsze fragmenty recenzji</w:t>
      </w:r>
      <w:r>
        <w:t xml:space="preserve"> i wypowiedzi członków Komisji.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Prof. Bielik-</w:t>
      </w:r>
      <w:proofErr w:type="spellStart"/>
      <w:r>
        <w:t>Robson</w:t>
      </w:r>
      <w:proofErr w:type="spellEnd"/>
      <w:r>
        <w:t xml:space="preserve"> w swojej recenzji, ale także w swoim wystąpieniu podczas posiedzenia Komisji zwróciła uwagę na to, że dzieło habilitanta jest dziełem niezwykłym, chociażby ze względu na jego rozmiar. Składa się na nie ni</w:t>
      </w:r>
      <w:r>
        <w:t xml:space="preserve">emal sześćset stron gęstej dyskusji filozoficznej krążącej w trójkącie, którego wierzchołki wyznaczają trzy główne nazwiska: Arystoteles, Hobbes, </w:t>
      </w:r>
      <w:proofErr w:type="spellStart"/>
      <w:r>
        <w:t>Agamben</w:t>
      </w:r>
      <w:proofErr w:type="spellEnd"/>
      <w:r>
        <w:t xml:space="preserve">. Arystoteles pojawia się jako twórca fundamentalnego pojęcia </w:t>
      </w:r>
      <w:proofErr w:type="spellStart"/>
      <w:r>
        <w:rPr>
          <w:i/>
        </w:rPr>
        <w:t>ergon</w:t>
      </w:r>
      <w:proofErr w:type="spellEnd"/>
      <w:r>
        <w:t xml:space="preserve">, </w:t>
      </w:r>
      <w:proofErr w:type="spellStart"/>
      <w:r>
        <w:rPr>
          <w:i/>
        </w:rPr>
        <w:t>zoon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politikon</w:t>
      </w:r>
      <w:proofErr w:type="spellEnd"/>
      <w:r>
        <w:t>; Hobbes uosabia now</w:t>
      </w:r>
      <w:r>
        <w:t xml:space="preserve">oczesną </w:t>
      </w:r>
      <w:proofErr w:type="spellStart"/>
      <w:r>
        <w:t>biopolitykę</w:t>
      </w:r>
      <w:proofErr w:type="spellEnd"/>
      <w:r>
        <w:t xml:space="preserve">, jest synonimem zerwania z ludzką naturą, tak jak definiował ją Arystoteles i  jednocześnie wyznacza początek nowoczesności w filozofii i zachodniej polityce. Niezwykłe znaczenie w pracy habilitanta ma natomiast trzecie nazwisko </w:t>
      </w:r>
      <w:proofErr w:type="spellStart"/>
      <w:r>
        <w:t>Agamben</w:t>
      </w:r>
      <w:r>
        <w:t>a</w:t>
      </w:r>
      <w:proofErr w:type="spellEnd"/>
      <w:r>
        <w:t xml:space="preserve">. </w:t>
      </w:r>
    </w:p>
    <w:p w:rsidR="003E2805" w:rsidRDefault="00852EDD">
      <w:pPr>
        <w:ind w:firstLine="708"/>
      </w:pPr>
      <w:bookmarkStart w:id="1" w:name="_heading=h.30j0zll" w:colFirst="0" w:colLast="0"/>
      <w:bookmarkEnd w:id="1"/>
      <w:r>
        <w:lastRenderedPageBreak/>
        <w:t>Na początku swojej recenzji prof.  Bielik-</w:t>
      </w:r>
      <w:proofErr w:type="spellStart"/>
      <w:r>
        <w:t>Robson</w:t>
      </w:r>
      <w:proofErr w:type="spellEnd"/>
      <w:r>
        <w:t xml:space="preserve"> zauważa, że  centralnym pojęciem wykorzystywanym przez Habilitanta jest pojęcie </w:t>
      </w:r>
      <w:proofErr w:type="spellStart"/>
      <w:r>
        <w:t>Agambenowskie</w:t>
      </w:r>
      <w:proofErr w:type="spellEnd"/>
      <w:r>
        <w:t xml:space="preserve"> </w:t>
      </w:r>
      <w:proofErr w:type="spellStart"/>
      <w:r>
        <w:rPr>
          <w:i/>
        </w:rPr>
        <w:t>inoperosita</w:t>
      </w:r>
      <w:proofErr w:type="spellEnd"/>
      <w:r>
        <w:rPr>
          <w:i/>
        </w:rPr>
        <w:t xml:space="preserve">. </w:t>
      </w:r>
      <w:r>
        <w:t>Habilitant, korzystając ze swoich zdolności językowych, ale także pewnej odwagi translatorskiej,</w:t>
      </w:r>
      <w:r>
        <w:t xml:space="preserve"> tłumaczy ten termin jako </w:t>
      </w:r>
      <w:r>
        <w:rPr>
          <w:i/>
        </w:rPr>
        <w:t>niedzielność.</w:t>
      </w:r>
      <w:r>
        <w:t xml:space="preserve"> Prof. Zbrzeźniak podkreśliła  tę  kwestię  z powodu kontrowersji i różnej oceny zaproponowanego tłumaczenia przez recenzentów.  </w:t>
      </w:r>
    </w:p>
    <w:p w:rsidR="003E2805" w:rsidRDefault="00852EDD">
      <w:bookmarkStart w:id="2" w:name="_heading=h.1fob9te" w:colFirst="0" w:colLast="0"/>
      <w:bookmarkEnd w:id="2"/>
      <w:r>
        <w:t>Zdaniem prof. Bielik-</w:t>
      </w:r>
      <w:proofErr w:type="spellStart"/>
      <w:r>
        <w:t>Robson</w:t>
      </w:r>
      <w:proofErr w:type="spellEnd"/>
      <w:r>
        <w:t xml:space="preserve"> ta propozycja jest bardzo udana, ponieważ jest to propozycj</w:t>
      </w:r>
      <w:r>
        <w:t xml:space="preserve">a translatorska, która pozwala na przywołanie takich skojarzeń jak Hegel i </w:t>
      </w:r>
      <w:proofErr w:type="spellStart"/>
      <w:r>
        <w:t>Kojeve</w:t>
      </w:r>
      <w:proofErr w:type="spellEnd"/>
      <w:r>
        <w:t xml:space="preserve"> i stanowi dobry przekład tej intuicji filozoficznej, którą </w:t>
      </w:r>
      <w:proofErr w:type="spellStart"/>
      <w:r>
        <w:t>Agamben</w:t>
      </w:r>
      <w:proofErr w:type="spellEnd"/>
      <w:r>
        <w:t xml:space="preserve"> opisuje w wielu swoich pracach.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Prof. Bielik-</w:t>
      </w:r>
      <w:proofErr w:type="spellStart"/>
      <w:r>
        <w:t>Robson</w:t>
      </w:r>
      <w:proofErr w:type="spellEnd"/>
      <w:r>
        <w:t xml:space="preserve"> zauważa również, że Habilitant nie ukrywa swoich prefer</w:t>
      </w:r>
      <w:r>
        <w:t xml:space="preserve">encji: najbliżej mu do starożytnych spod znaku </w:t>
      </w:r>
      <w:proofErr w:type="spellStart"/>
      <w:r>
        <w:t>Arystotelejskich</w:t>
      </w:r>
      <w:proofErr w:type="spellEnd"/>
      <w:r>
        <w:t xml:space="preserve"> rozważań o etyce dzieła politycznego, czyli sfery dzielnych działań.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Zdaniem prof. Bielik-</w:t>
      </w:r>
      <w:proofErr w:type="spellStart"/>
      <w:r>
        <w:t>Robson</w:t>
      </w:r>
      <w:proofErr w:type="spellEnd"/>
      <w:r>
        <w:t xml:space="preserve"> odczytanie Arystotelesa zaproponowane przez Habilitanta jest niezwykle specyficzne. Prof. Bieli</w:t>
      </w:r>
      <w:r>
        <w:t>k-</w:t>
      </w:r>
      <w:proofErr w:type="spellStart"/>
      <w:r>
        <w:t>Robson</w:t>
      </w:r>
      <w:proofErr w:type="spellEnd"/>
      <w:r>
        <w:t xml:space="preserve"> określa je jako fizjokratyczne odczytywanie Arystotelesa i zauważa, że nawet ta wyróżniona przez samego Habilitanta jako bardzo pozytywna tradycja zostaje tu poddana pewnym zabiegom interpretacyjnym.</w:t>
      </w:r>
    </w:p>
    <w:p w:rsidR="003E2805" w:rsidRDefault="00852EDD">
      <w:pPr>
        <w:ind w:firstLine="708"/>
      </w:pPr>
      <w:bookmarkStart w:id="3" w:name="_heading=h.3znysh7" w:colFirst="0" w:colLast="0"/>
      <w:bookmarkEnd w:id="3"/>
      <w:r>
        <w:t>Prof. Bielik-</w:t>
      </w:r>
      <w:proofErr w:type="spellStart"/>
      <w:r>
        <w:t>Robson</w:t>
      </w:r>
      <w:proofErr w:type="spellEnd"/>
      <w:r>
        <w:t xml:space="preserve">, mimo iż jej recenzja jest </w:t>
      </w:r>
      <w:r>
        <w:t>niezwykle pozytywna, zaznacza pewien mankament pracy, który wynika po części z preferencji filozoficznych Habilitanta. Dotyczy on pominięcia części tradycji filozofii politycznej, ale także tradycji filozoficznej w ogóle. Struktura dzieła Habilitanta opart</w:t>
      </w:r>
      <w:r>
        <w:t>a jest na przeciwstawieniu trzech modeli.  Habilitant wyraźnie uprzywilejowuje Hobbesa czytanego jako symbol tradycji nowoczesnej. Prof. Bielik-</w:t>
      </w:r>
      <w:proofErr w:type="spellStart"/>
      <w:r>
        <w:t>Robson</w:t>
      </w:r>
      <w:proofErr w:type="spellEnd"/>
      <w:r>
        <w:t xml:space="preserve"> zwraca uwagę, że ta decyzja interpretacyjna, jaką podjął Habilitant nie pozwoliła mu dostrzec tych  alter</w:t>
      </w:r>
      <w:r>
        <w:t>natywnych tradycji, które są równie konstytutywne dla nowoczesności. Prof. Bielik-</w:t>
      </w:r>
      <w:proofErr w:type="spellStart"/>
      <w:r>
        <w:t>Robson</w:t>
      </w:r>
      <w:proofErr w:type="spellEnd"/>
      <w:r>
        <w:t xml:space="preserve"> zwraca uwagę na to, że zupełnie nieobecny w pracy Habilitanta  jest Herder oraz wszyscy, którzy podzielali jego poglądy. Zdaniem prof. Bielik-</w:t>
      </w:r>
      <w:proofErr w:type="spellStart"/>
      <w:r>
        <w:t>Robson</w:t>
      </w:r>
      <w:proofErr w:type="spellEnd"/>
      <w:r>
        <w:t xml:space="preserve"> powoduje to, że Ha</w:t>
      </w:r>
      <w:r>
        <w:t>bilitant nie jest w stanie w wystarczająco głęboki sposób zbadać kwestii związku między życiem a prawem. Tradycję i pogłębioną interpretację owej problematyki dostrzega prof. Bielik-</w:t>
      </w:r>
      <w:proofErr w:type="spellStart"/>
      <w:r>
        <w:t>Robson</w:t>
      </w:r>
      <w:proofErr w:type="spellEnd"/>
      <w:r>
        <w:t xml:space="preserve"> m.in. u Derridy. Habilitant natomiast, ze względu na podjęte decyzj</w:t>
      </w:r>
      <w:r>
        <w:t xml:space="preserve">e interpretacyjne nie jest w stanie tej problematyki w pełni uwzględnić. </w:t>
      </w:r>
    </w:p>
    <w:p w:rsidR="003E2805" w:rsidRDefault="00852EDD">
      <w:pPr>
        <w:ind w:firstLine="708"/>
      </w:pPr>
      <w:r>
        <w:t>Ostatecznie prof. Bielik-</w:t>
      </w:r>
      <w:proofErr w:type="spellStart"/>
      <w:r>
        <w:t>Robson</w:t>
      </w:r>
      <w:proofErr w:type="spellEnd"/>
      <w:r>
        <w:t xml:space="preserve"> ocenia dzieło bardzo pozytywnie. Prof. Bielik-</w:t>
      </w:r>
      <w:proofErr w:type="spellStart"/>
      <w:r>
        <w:t>Robson</w:t>
      </w:r>
      <w:proofErr w:type="spellEnd"/>
      <w:r>
        <w:t xml:space="preserve"> zaznacza, że z jej perspektywy praca Habilitanta stanowi dzieło bez zarzutu: </w:t>
      </w:r>
      <w:r>
        <w:lastRenderedPageBreak/>
        <w:t xml:space="preserve">erudycyjne, spójne, </w:t>
      </w:r>
      <w:r>
        <w:t>dobrze przedstawione, wsparte potężnym aparatem bibliograficznym. Prof. Bielik-</w:t>
      </w:r>
      <w:proofErr w:type="spellStart"/>
      <w:r>
        <w:t>Robson</w:t>
      </w:r>
      <w:proofErr w:type="spellEnd"/>
      <w:r>
        <w:t xml:space="preserve"> nie polemizuje również ze sposobem, w jaki Habilitant wykłada tezy, których broni. Prof. Bielik-</w:t>
      </w:r>
      <w:proofErr w:type="spellStart"/>
      <w:r>
        <w:t>Robson</w:t>
      </w:r>
      <w:proofErr w:type="spellEnd"/>
      <w:r>
        <w:t xml:space="preserve"> zauważa również osobiste, egzystencjalne zaangażowaniem autora w pr</w:t>
      </w:r>
      <w:r>
        <w:t>oblematykę, którą się zajmuje.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Następnie </w:t>
      </w:r>
      <w:r>
        <w:rPr>
          <w:b/>
        </w:rPr>
        <w:t xml:space="preserve">prof. Zbrzeźniak </w:t>
      </w:r>
      <w:r>
        <w:t>streściła recenzję i wystąpienie prof. dr. hab. Adama Chmielewskiego.</w:t>
      </w:r>
    </w:p>
    <w:p w:rsidR="003E2805" w:rsidRDefault="00852EDD">
      <w:pPr>
        <w:ind w:firstLine="708"/>
      </w:pPr>
      <w:r>
        <w:t>Prof. Chmielewski przedstawił niezwykle obszerną, ale też bardzo drobiazgową recenzję, w której, mimo iż kończy się ona pozytywn</w:t>
      </w:r>
      <w:r>
        <w:t>ą konkluzją, występuje szereg argumentów krytycznych, zarówno o charakterze ogólnym, jak i szczegółowym dotyczących decyzji translatorskich podjętych przez Habilitanta.</w:t>
      </w:r>
    </w:p>
    <w:p w:rsidR="003E2805" w:rsidRDefault="00852EDD">
      <w:pPr>
        <w:ind w:firstLine="708"/>
      </w:pPr>
      <w:r>
        <w:t xml:space="preserve">Prof. Chmielewski ocenił powodzenie decyzji translatorskiej podjętej przez Habilitanta </w:t>
      </w:r>
      <w:r>
        <w:t>odmiennie niż prof. Bielik-</w:t>
      </w:r>
      <w:proofErr w:type="spellStart"/>
      <w:r>
        <w:t>Robson</w:t>
      </w:r>
      <w:proofErr w:type="spellEnd"/>
      <w:r>
        <w:t xml:space="preserve"> i zakwestionował poprawność tłumaczenia kategorii </w:t>
      </w:r>
      <w:proofErr w:type="spellStart"/>
      <w:r>
        <w:rPr>
          <w:i/>
        </w:rPr>
        <w:t>inoperosita</w:t>
      </w:r>
      <w:proofErr w:type="spellEnd"/>
      <w:r>
        <w:rPr>
          <w:i/>
        </w:rPr>
        <w:t xml:space="preserve"> </w:t>
      </w:r>
      <w:r>
        <w:t>jako</w:t>
      </w:r>
      <w:r>
        <w:rPr>
          <w:i/>
        </w:rPr>
        <w:t xml:space="preserve"> niedzielność</w:t>
      </w:r>
      <w:r>
        <w:t>. W swojej recenzji prof. Chmielewski uznał, że ta gra słów, chociaż pozornie obiecująca, odbiega od przyjętych tradycji translatorskich i jest</w:t>
      </w:r>
      <w:r>
        <w:t xml:space="preserve"> niewystarczająco uzasadniona. </w:t>
      </w:r>
    </w:p>
    <w:p w:rsidR="003E2805" w:rsidRDefault="00852EDD">
      <w:pPr>
        <w:ind w:firstLine="708"/>
      </w:pPr>
      <w:r>
        <w:t xml:space="preserve">Odnosząc się do tłumaczenia pojęcia </w:t>
      </w:r>
      <w:proofErr w:type="spellStart"/>
      <w:r>
        <w:rPr>
          <w:i/>
        </w:rPr>
        <w:t>ergon</w:t>
      </w:r>
      <w:proofErr w:type="spellEnd"/>
      <w:r>
        <w:rPr>
          <w:i/>
        </w:rPr>
        <w:t xml:space="preserve">, </w:t>
      </w:r>
      <w:r>
        <w:t xml:space="preserve">prof. Chmielewski zauważył, że Habilitant, proponując swoją konwencję translatorską, czyli </w:t>
      </w:r>
      <w:r>
        <w:rPr>
          <w:i/>
        </w:rPr>
        <w:t>dzieło</w:t>
      </w:r>
      <w:r>
        <w:t xml:space="preserve"> lub </w:t>
      </w:r>
      <w:r>
        <w:rPr>
          <w:i/>
        </w:rPr>
        <w:t>bycie w dziele</w:t>
      </w:r>
      <w:r>
        <w:t xml:space="preserve">, pominął ważnych myślicieli, takich jak </w:t>
      </w:r>
      <w:proofErr w:type="spellStart"/>
      <w:r>
        <w:t>Martha</w:t>
      </w:r>
      <w:proofErr w:type="spellEnd"/>
      <w:r>
        <w:t xml:space="preserve"> </w:t>
      </w:r>
      <w:proofErr w:type="spellStart"/>
      <w:r>
        <w:t>Nussbaum</w:t>
      </w:r>
      <w:proofErr w:type="spellEnd"/>
      <w:r>
        <w:t xml:space="preserve">, </w:t>
      </w:r>
      <w:proofErr w:type="spellStart"/>
      <w:r>
        <w:t>MacPher</w:t>
      </w:r>
      <w:r>
        <w:t>son</w:t>
      </w:r>
      <w:proofErr w:type="spellEnd"/>
      <w:r>
        <w:t xml:space="preserve"> czy Thomas </w:t>
      </w:r>
      <w:proofErr w:type="spellStart"/>
      <w:r>
        <w:t>Nagel</w:t>
      </w:r>
      <w:proofErr w:type="spellEnd"/>
      <w:r>
        <w:t>, którzy tłumaczą to pojęcie w inny sposób. Prof. Chmielewski brak odniesienia do tych sposobów tłumaczenia ostatecznie uznał za błąd. Prof. Chmielewski zwrócił również uwagę na pewną niekonsekwencję Habilitanta, który, mimo iż przekład</w:t>
      </w:r>
      <w:r>
        <w:t xml:space="preserve">a termin </w:t>
      </w:r>
      <w:proofErr w:type="spellStart"/>
      <w:r>
        <w:rPr>
          <w:i/>
        </w:rPr>
        <w:t>ergon</w:t>
      </w:r>
      <w:proofErr w:type="spellEnd"/>
      <w:r>
        <w:t xml:space="preserve"> jako </w:t>
      </w:r>
      <w:r>
        <w:rPr>
          <w:i/>
        </w:rPr>
        <w:t>dzieło</w:t>
      </w:r>
      <w:r>
        <w:t xml:space="preserve"> lub </w:t>
      </w:r>
      <w:r>
        <w:rPr>
          <w:i/>
        </w:rPr>
        <w:t>bycie w dziele</w:t>
      </w:r>
      <w:r>
        <w:t xml:space="preserve">, to na jednej ze stron swojej pracy powraca do tego tłumaczenia, od którego się początkowo dystansował. Ostatecznie prof. Chmielewski uznał nowatorski sposób odczytywania Arystotelesa jako nieudaną próbę. Jako </w:t>
      </w:r>
      <w:r>
        <w:t xml:space="preserve">przyczyny owej porażki wskazuje przede wszystkim arbitralne podejście do doboru źródeł, które miałyby te decyzje translatorskie uzasadniać. </w:t>
      </w:r>
    </w:p>
    <w:p w:rsidR="003E2805" w:rsidRDefault="00852EDD">
      <w:pPr>
        <w:ind w:firstLine="709"/>
      </w:pPr>
      <w:r>
        <w:t xml:space="preserve">Kolejne źródło porażki prof. Chmielewski upatruje w nadmiernym przywiązaniu do idei </w:t>
      </w:r>
      <w:proofErr w:type="spellStart"/>
      <w:r>
        <w:t>Agambenowskich</w:t>
      </w:r>
      <w:proofErr w:type="spellEnd"/>
      <w:r>
        <w:t xml:space="preserve"> i </w:t>
      </w:r>
      <w:proofErr w:type="spellStart"/>
      <w:r>
        <w:t>Agambenowskiej</w:t>
      </w:r>
      <w:proofErr w:type="spellEnd"/>
      <w:r>
        <w:t xml:space="preserve"> interpretacji współczesności, które nie pozwoliło Habilitantowi dostrzec możliwości krytycznych argumentów stawianych interpretacji </w:t>
      </w:r>
      <w:proofErr w:type="spellStart"/>
      <w:r>
        <w:t>Agambenowskiej</w:t>
      </w:r>
      <w:proofErr w:type="spellEnd"/>
      <w:r>
        <w:t>.</w:t>
      </w:r>
    </w:p>
    <w:p w:rsidR="003E2805" w:rsidRDefault="00852EDD">
      <w:pPr>
        <w:ind w:firstLine="709"/>
      </w:pPr>
      <w:r>
        <w:rPr>
          <w:b/>
        </w:rPr>
        <w:lastRenderedPageBreak/>
        <w:t xml:space="preserve"> Prof. Zbrzeźniak</w:t>
      </w:r>
      <w:r>
        <w:t xml:space="preserve"> zaznaczyła, że  krytyka nadmiernego przywiązania Habilitanta do </w:t>
      </w:r>
      <w:proofErr w:type="spellStart"/>
      <w:r>
        <w:t>Agambenowskiego</w:t>
      </w:r>
      <w:proofErr w:type="spellEnd"/>
      <w:r>
        <w:t xml:space="preserve"> sposobu f</w:t>
      </w:r>
      <w:r>
        <w:t>ilozofowania, do koncepcji dzieła pojawiała się również w innych recenzjach.</w:t>
      </w:r>
    </w:p>
    <w:p w:rsidR="003E2805" w:rsidRDefault="00852EDD">
      <w:pPr>
        <w:ind w:firstLine="709"/>
      </w:pPr>
      <w:r>
        <w:t>W swojej recenzji prof. Chmielewski zawarł również  szereg zarzutów dotyczących pominięcia postaci historycznych, które rozszerzyły i skomplikowałyby obraz i starożytności i nowoc</w:t>
      </w:r>
      <w:r>
        <w:t xml:space="preserve">zesności, jaki przedstawił Habilitant. Prof. Chmielewski zwrócił uwagę, że Habilitant w swojej pracy nie wspomina o </w:t>
      </w:r>
      <w:proofErr w:type="spellStart"/>
      <w:r>
        <w:t>Lykofronie</w:t>
      </w:r>
      <w:proofErr w:type="spellEnd"/>
      <w:r>
        <w:t xml:space="preserve">, przedstawicielu tradycji sofistycznej, pomija również tradycję cynicką. </w:t>
      </w:r>
    </w:p>
    <w:p w:rsidR="003E2805" w:rsidRDefault="00852EDD">
      <w:pPr>
        <w:ind w:firstLine="708"/>
      </w:pPr>
      <w:r>
        <w:t>Habilitant w swojej pracy pominął inne koncepcje polity</w:t>
      </w:r>
      <w:r>
        <w:t>czne, filozoficzno-polityczne, ale także moralne, które nie mieściłyby się we wzorcu platońsko-arystotelesowskim.</w:t>
      </w:r>
    </w:p>
    <w:p w:rsidR="003E2805" w:rsidRDefault="00852EDD">
      <w:pPr>
        <w:ind w:firstLine="708"/>
      </w:pPr>
      <w:r>
        <w:t>Odnosząc się do metodologii, prof. Chmielewski zauważa pewne niezdyscyplinowanie autora przejawiające się w sposobie konstruowania pracy, a ta</w:t>
      </w:r>
      <w:r>
        <w:t>kże w sposobie formułowania opinii i twierdzeń. Prof. Chmielewski podkreśla, że wiele z tez stawianych przez Habilitanta ma charakter niezwykle ogólny. Nie stanowiłoby to, zdaniem prof. Chmielewskiego, istotnego błędu, gdyby nie brak wystarczającego uzasad</w:t>
      </w:r>
      <w:r>
        <w:t xml:space="preserve">nienia. </w:t>
      </w:r>
    </w:p>
    <w:p w:rsidR="003E2805" w:rsidRDefault="00852EDD">
      <w:pPr>
        <w:ind w:firstLine="708"/>
      </w:pPr>
      <w:r>
        <w:t xml:space="preserve">Prof. Chmielewski zauważa, że problemu nie stanowi jedynie pewna ogólna skłonność Habilitanta do formułowania fundamentalnych tez dotyczących na przykład całej tradycji, czy starożytnej, czy nowoczesnej, ale także niewystarczająca staranność, jeśli chodzi </w:t>
      </w:r>
      <w:r>
        <w:t>o opatrywanie swoich tez wystarczającym aparatem naukowym w pomniejszych kwestiach. Prof. Chmielewski podkreśla, że w pewnych twierdzeniach Habilitant śmiało przypisuje pewne  twierdzenia takim  autorom jak Rousseau czy Gabriel Lear, podczas gdy lektura pi</w:t>
      </w:r>
      <w:r>
        <w:t>sm wskazanych przez Habilitanta nie potwierdza tych tez, które Habilitant im przypisuje.</w:t>
      </w:r>
    </w:p>
    <w:p w:rsidR="003E2805" w:rsidRDefault="00852EDD">
      <w:pPr>
        <w:ind w:firstLine="708"/>
      </w:pPr>
      <w:r>
        <w:t>W ocenie końcowej prof. Chmielewski zwraca uwagę na to, że mimo wszystkich krytycznych uwag dotyczących konstrukcji, metodologii, niewystarczającego sposobu definiowan</w:t>
      </w:r>
      <w:r>
        <w:t>ia terminu ta praca spełnia ustawowe wymogi. Zdaniem prof. Chmielewskiego również pozostały dorobek naukowy Habilitanta nie budzi większych wątpliwości, stąd konstatacja i wniosek jest pozytywny.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Prof. Zbrzeźniak</w:t>
      </w:r>
      <w:r>
        <w:t xml:space="preserve"> przedstawiła następnie najważniejsze założe</w:t>
      </w:r>
      <w:r>
        <w:t>nia recenzji i wystąpienia prof. dr. hab. Zbigniewa Drozdowicza.</w:t>
      </w:r>
    </w:p>
    <w:p w:rsidR="003E2805" w:rsidRDefault="00852EDD">
      <w:pPr>
        <w:ind w:firstLine="709"/>
      </w:pPr>
      <w:r>
        <w:lastRenderedPageBreak/>
        <w:t xml:space="preserve">W recenzji, ale także w swoim wystąpieniu prof. Drozdowicz wyraził wątpliwość dotyczącą usytuowania Habilitanta w  jego obszarze badawczym. Wątpliwość tą wzbudziła kwestia semantyki i pojęć, </w:t>
      </w:r>
      <w:r>
        <w:t>ale także pewnej historii idei.</w:t>
      </w:r>
    </w:p>
    <w:p w:rsidR="003E2805" w:rsidRDefault="00852EDD">
      <w:pPr>
        <w:ind w:firstLine="709"/>
      </w:pPr>
      <w:r>
        <w:t xml:space="preserve">W recenzji prof. Drozdowicza dominuje problem stronniczości, który Recenzent zauważa w dziele Habilitanta. Prof. Drozdowicz, podobnie jak prof. Chmielewski, zauważa swoisty brak krytycyzmu Habilitanta w podejściu do dzieła </w:t>
      </w:r>
      <w:proofErr w:type="spellStart"/>
      <w:r>
        <w:t>Agambena</w:t>
      </w:r>
      <w:proofErr w:type="spellEnd"/>
      <w:r>
        <w:t>, chociaż pod koniec swoj</w:t>
      </w:r>
      <w:r>
        <w:t>ej recenzji  prof. Drozdowicz stwierdza, że tego rodzaj braku krytycyzmu jest jeszcze dopuszczalny na tym etapie kariery, więc ostatecznie nie uznał tego zarzutu za przekreślający wartość dzieła Habilitanta.</w:t>
      </w:r>
    </w:p>
    <w:p w:rsidR="003E2805" w:rsidRDefault="00852EDD">
      <w:pPr>
        <w:ind w:firstLine="709"/>
      </w:pPr>
      <w:r>
        <w:t xml:space="preserve">Druga uwaga o charakterze krytycznym wygłoszona </w:t>
      </w:r>
      <w:r>
        <w:t>przez prof. Drozdowicz związana była ze sposobem, w jaki Habilitant interpretuje tradycję Arystotelesowską, zwracając uwagę na pewne uprzywilejowanie Arystotelesa. Prof. Drozdowicz podkreśla również, że nie do końca można uznać za słuszną  decyzję Habilita</w:t>
      </w:r>
      <w:r>
        <w:t>nta o uznaniu Hobbesa za kluczową postać tradycji nowożytnej. Prof. Drozdowicz zwraca  uwagę na pominięcie przez Habilitanta Spinozy, który dla myśli filozoficznej, ale także dla filozofii politycznej, jest postacią niesłychanie istotną.</w:t>
      </w:r>
    </w:p>
    <w:p w:rsidR="003E2805" w:rsidRDefault="00852EDD">
      <w:pPr>
        <w:ind w:firstLine="709"/>
      </w:pPr>
      <w:r>
        <w:t>Prof. Drozdowicz n</w:t>
      </w:r>
      <w:r>
        <w:t xml:space="preserve">ie zawarł w swojej recenzji uwag szczegółowych dotyczących terminologii. Podkreślił natomiast wątpliwą, jego zdaniem, wartość samej konstrukcji przedstawionej przez </w:t>
      </w:r>
      <w:proofErr w:type="spellStart"/>
      <w:r>
        <w:t>Agambena</w:t>
      </w:r>
      <w:proofErr w:type="spellEnd"/>
      <w:r>
        <w:t xml:space="preserve">,  którą Habilitant  w swoim dziele broni. </w:t>
      </w:r>
    </w:p>
    <w:p w:rsidR="003E2805" w:rsidRDefault="00852EDD">
      <w:pPr>
        <w:ind w:firstLine="708"/>
      </w:pPr>
      <w:r>
        <w:t>Ostateczna konkluzja recenzji prof. Dro</w:t>
      </w:r>
      <w:r>
        <w:t>zdowicza jest pozytywna. Prof. Drozdowicz podkreślił, że wszelkie negatywne opinie, jakie zawarł w swojej recenzji nie przekreślają wartości dzieła Habilitanta. Wyjaśnił również, że słabości, które dostrzega w „Dyspucie o dziele” biorą się z owej nadmierne</w:t>
      </w:r>
      <w:r>
        <w:t xml:space="preserve">j fascynacji Habilitanta teorią </w:t>
      </w:r>
      <w:proofErr w:type="spellStart"/>
      <w:r>
        <w:t>Agambena</w:t>
      </w:r>
      <w:proofErr w:type="spellEnd"/>
      <w:r>
        <w:t>.</w:t>
      </w:r>
    </w:p>
    <w:p w:rsidR="003E2805" w:rsidRDefault="00852EDD">
      <w:pPr>
        <w:ind w:firstLine="708"/>
      </w:pPr>
      <w:r>
        <w:t xml:space="preserve">Ostatnią recenzją streszczoną przez </w:t>
      </w:r>
      <w:r>
        <w:rPr>
          <w:b/>
        </w:rPr>
        <w:t>prof. Zbrzeźniak</w:t>
      </w:r>
      <w:r>
        <w:t xml:space="preserve"> była recenzja dr. hab. Piotra Świercza. </w:t>
      </w:r>
    </w:p>
    <w:p w:rsidR="003E2805" w:rsidRDefault="00852EDD">
      <w:pPr>
        <w:ind w:firstLine="708"/>
      </w:pPr>
      <w:r>
        <w:t>W swojej recenzji prof. Świercz w znacznym stopniu rozwija te wątki, które pojawiły się w recenzji prof. Chmielewskiego.</w:t>
      </w:r>
      <w:r>
        <w:t xml:space="preserve"> Podstawowa różnica obu recenzji dotyczyła oceny powodzenia decyzji translatorskiej zaproponowanej przez Habilitanta. Prof. Świercz w swojej recenzji ocenia tę decyzję  jako ryzykowną, ale jednak akceptowalną i  dopuszczalną.</w:t>
      </w:r>
    </w:p>
    <w:p w:rsidR="003E2805" w:rsidRDefault="00852EDD">
      <w:pPr>
        <w:ind w:firstLine="708"/>
      </w:pPr>
      <w:r>
        <w:t>Prof. Świercz podkreśla natomi</w:t>
      </w:r>
      <w:r>
        <w:t>ast trudność dotyczącą zaklasyfikowania dzieła Habilitanta. Zdaniem prof. Świercza w dziele Habilitanta mamy do czynienia z  rozważaniami z  zakresu filozofii polityki, ale również z zakresu antropologii</w:t>
      </w:r>
    </w:p>
    <w:p w:rsidR="003E2805" w:rsidRDefault="00852EDD">
      <w:pPr>
        <w:ind w:firstLine="708"/>
      </w:pPr>
      <w:r>
        <w:lastRenderedPageBreak/>
        <w:t xml:space="preserve"> Prof. Świercz wskazuje również, podobnie jak większ</w:t>
      </w:r>
      <w:r>
        <w:t xml:space="preserve">ość recenzentów, na nieuwzględnienie przez Habilitanta znaczących nazwisk z tradycji filozoficznej. Recenzent wskazuje przede wszystkim na trzy nazwiska:  Machiavellego, Kartezjusza ii Rousseau. </w:t>
      </w:r>
    </w:p>
    <w:p w:rsidR="003E2805" w:rsidRDefault="00852EDD">
      <w:pPr>
        <w:ind w:firstLine="708"/>
      </w:pPr>
      <w:r>
        <w:t>Prof. Świercz w bardzo szczegółowy sposób wykazuje, że Habil</w:t>
      </w:r>
      <w:r>
        <w:t>itant nadmiernie stara się interpretować tradycję starożytną przez pryzmat filozofii Arystotelesa i stanowi to jeden z najbardziej rozwiniętych zarzutów stawianych Habilitantowi, który pojawił się również w recenzji prof. Chmielewskiego. Prof. Świercz zwra</w:t>
      </w:r>
      <w:r>
        <w:t xml:space="preserve">ca uwagę, że nie wszyscy filozofowie starożytni byli arystotelikami i że nie wszyscy filozofowie starożytni posługiwali się terminologią wypracowaną przez Arystotelesa. </w:t>
      </w:r>
    </w:p>
    <w:p w:rsidR="003E2805" w:rsidRDefault="00852EDD">
      <w:pPr>
        <w:ind w:firstLine="708"/>
      </w:pPr>
      <w:r>
        <w:t>Prof. Świercz zwrócił uwagę na zamazywanie przez Habilitanta różnic między tradycją fi</w:t>
      </w:r>
      <w:r>
        <w:t xml:space="preserve">lozofii starożytnej i chrześcijańskiej. </w:t>
      </w:r>
    </w:p>
    <w:p w:rsidR="003E2805" w:rsidRDefault="00852EDD">
      <w:pPr>
        <w:ind w:firstLine="708"/>
      </w:pPr>
      <w:r>
        <w:t>Odnosząc się do konstrukcji pracy, Recenzent zwraca uwagę na nietypową strukturę dzieła, która utrudnia jej odczytanie. Praca jest, co prawda podzielona na rozdziały, ale brakuje jej  wewnętrznej spójności, rozdział</w:t>
      </w:r>
      <w:r>
        <w:t>y nie są tytułowane, językowo praca bardziej zbliżona jest do  języka literackiego niż do języka ściśle naukowego, jaki stosowany jest w  postępowaniach awansowych.</w:t>
      </w:r>
    </w:p>
    <w:p w:rsidR="003E2805" w:rsidRDefault="00852EDD">
      <w:pPr>
        <w:ind w:firstLine="708"/>
      </w:pPr>
      <w:r>
        <w:t>Prof. Świercz w swojej recenzji nie wyrażał sprzeciwu wobec zaproponowanych przez Habilitan</w:t>
      </w:r>
      <w:r>
        <w:t>ta decyzji translacyjnych, nie kwestionował również metodologicznego warsztatu. Zdaniem prof. Świercza tłumaczenia zaproponowane przez autora zasługują na wysoką ocenę, a oceniając kwestię metodologiczną, prof. Świerszczy zwrócił uwagę na odwoływanie się H</w:t>
      </w:r>
      <w:r>
        <w:t xml:space="preserve">abilitanta do wielu źródeł. Prof. Świercz podkreślił również erudycję autora, która jego zdaniem zasługuje na najwyższe słowa uznania. </w:t>
      </w:r>
    </w:p>
    <w:p w:rsidR="003E2805" w:rsidRDefault="00852EDD">
      <w:pPr>
        <w:ind w:firstLine="708"/>
      </w:pPr>
      <w:r>
        <w:t>W recenzji znalazły się także liczne uwagi krytyczne dotyczące pewnych uproszczeń zastosowanych przez Habilitanta. Prof.</w:t>
      </w:r>
      <w:r>
        <w:t xml:space="preserve"> Świerszcz zauważa, że dr </w:t>
      </w:r>
      <w:proofErr w:type="spellStart"/>
      <w:r>
        <w:t>Dimitrijević</w:t>
      </w:r>
      <w:proofErr w:type="spellEnd"/>
      <w:r>
        <w:t xml:space="preserve"> w wielu punktach ewidentnie nadinterpretuje pewien materiał historyczny i upraszcza historię filozofii.</w:t>
      </w:r>
    </w:p>
    <w:p w:rsidR="003E2805" w:rsidRDefault="00852EDD">
      <w:pPr>
        <w:ind w:firstLine="708"/>
      </w:pPr>
      <w:r>
        <w:t xml:space="preserve">Ostateczna konkluzja recenzji prof. Świercza była pozytywna. </w:t>
      </w:r>
    </w:p>
    <w:p w:rsidR="003E2805" w:rsidRDefault="00852EDD">
      <w:pPr>
        <w:ind w:firstLine="708"/>
      </w:pPr>
      <w:r>
        <w:rPr>
          <w:b/>
        </w:rPr>
        <w:t>Prof. Zbrzeźniak</w:t>
      </w:r>
      <w:r>
        <w:t xml:space="preserve"> poinformowała, że  po prezentacji </w:t>
      </w:r>
      <w:r>
        <w:t xml:space="preserve">recenzji miała miejsce dyskusja członków Komisji z Habilitantem dotycząca przedstawionych zarzutów. Po dyskusji rozpoczęła się część tajna kolokwium.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Na koniec </w:t>
      </w:r>
      <w:r>
        <w:rPr>
          <w:b/>
        </w:rPr>
        <w:t>prof. Zbrzeźniak</w:t>
      </w:r>
      <w:r>
        <w:t xml:space="preserve"> podała wyniki głosowania Komisji Habilitacyjnej. Przypomniała, że troje członk</w:t>
      </w:r>
      <w:r>
        <w:t xml:space="preserve">ów Komisji Habilitacyjnej podjęło decyzję o wystąpieniu do </w:t>
      </w:r>
      <w:r>
        <w:lastRenderedPageBreak/>
        <w:t xml:space="preserve">Rady o nadanie dr. </w:t>
      </w:r>
      <w:proofErr w:type="spellStart"/>
      <w:r>
        <w:t>Dimitrijeviciowi</w:t>
      </w:r>
      <w:proofErr w:type="spellEnd"/>
      <w:r>
        <w:t xml:space="preserve"> stopnia doktora habilitowanego w dziedzinie nauk humanistycznych w dyscyplinie </w:t>
      </w:r>
      <w:r>
        <w:rPr>
          <w:i/>
        </w:rPr>
        <w:t>filozofia</w:t>
      </w:r>
      <w:r>
        <w:t>, dwie osoby zagłosowały przeciw, a dwie wstrzymały się od głosu.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Przewod</w:t>
      </w:r>
      <w:r>
        <w:rPr>
          <w:b/>
        </w:rPr>
        <w:t xml:space="preserve">nicząca </w:t>
      </w:r>
      <w:r>
        <w:t>zwróciła się do obecnych na posiedzeniu recenzentów i członków Komisji Habilitacyjnych z prośbą o przedstawienie swoich stanowisk. Zwróciła też uwagę, że choć konkluzje wszystkich czterech recenzji były pozytywne, w głosowaniu w sprawie wystąpienia</w:t>
      </w:r>
      <w:r>
        <w:t xml:space="preserve"> do Rady o nadanie dr. </w:t>
      </w:r>
      <w:proofErr w:type="spellStart"/>
      <w:r>
        <w:t>Dimitrijeviciowi</w:t>
      </w:r>
      <w:proofErr w:type="spellEnd"/>
      <w:r>
        <w:t xml:space="preserve"> stopnia doktora habilitowanego, spośród recenzentów jedynie dr hab. Agata Bielik-</w:t>
      </w:r>
      <w:proofErr w:type="spellStart"/>
      <w:r>
        <w:t>Robson</w:t>
      </w:r>
      <w:proofErr w:type="spellEnd"/>
      <w:r>
        <w:t xml:space="preserve">, prof. </w:t>
      </w:r>
      <w:proofErr w:type="spellStart"/>
      <w:r>
        <w:t>IFiS</w:t>
      </w:r>
      <w:proofErr w:type="spellEnd"/>
      <w:r>
        <w:t xml:space="preserve"> PAN, głosowała za, a pozostali recenzenci zagłosowali przeciwko (prof. Chmielewski i prof. Drozdowicz) lub wstrzymal</w:t>
      </w:r>
      <w:r>
        <w:t xml:space="preserve">i się od głosu (prof. Świercz). Przewodnicząca poprosiła wszystkich członków Komisji, rozpoczynając od recenzentów, o wyjaśnienie swoich stanowisk. Przewodnicząca zaznaczyła też, Rada musi podjąć decyzję, czy osiągnięcia habilitacyjne dr. </w:t>
      </w:r>
      <w:proofErr w:type="spellStart"/>
      <w:r>
        <w:t>Dimitrijevicia</w:t>
      </w:r>
      <w:proofErr w:type="spellEnd"/>
      <w:r>
        <w:t xml:space="preserve"> st</w:t>
      </w:r>
      <w:r>
        <w:t xml:space="preserve">anowią znaczny wkład w rozwój filozofii. </w:t>
      </w:r>
    </w:p>
    <w:p w:rsidR="003E2805" w:rsidRDefault="00852ED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</w:pPr>
      <w:r>
        <w:t>Jako pierwszy głos zabrał</w:t>
      </w:r>
      <w:r>
        <w:rPr>
          <w:b/>
        </w:rPr>
        <w:t xml:space="preserve"> prof. dr hab. Adam Chmielewski, </w:t>
      </w:r>
      <w:r>
        <w:t xml:space="preserve">który poinformował, że prof. Zbrzeźniak w zasadzie zrelacjonowała jego stanowisko. Prof. Chmielewski potwierdził, że podkreślał dezynwolturę Habilitanta w odniesieniu do Arystotelesowskiego terminu, który odgrywał kluczową rolę w rozprawie dr. </w:t>
      </w:r>
      <w:proofErr w:type="spellStart"/>
      <w:r>
        <w:t>Dimitrijevic</w:t>
      </w:r>
      <w:r>
        <w:t>ia</w:t>
      </w:r>
      <w:proofErr w:type="spellEnd"/>
      <w:r>
        <w:t xml:space="preserve">. Prof. Chmielewski uważa, że tłumaczenie tego terminu jako „dzieło” jest niewłaściwe. W jego opinii chodzi tu raczej o zdolność do realizacji dzieł i zdolność do działania i tak jest to tłumaczone przez wielu wybitnych interpretatorów Arystotelesa, tak </w:t>
      </w:r>
      <w:r>
        <w:t xml:space="preserve">również funkcjonuje w  </w:t>
      </w:r>
      <w:proofErr w:type="spellStart"/>
      <w:r>
        <w:t>inkluzywnej</w:t>
      </w:r>
      <w:proofErr w:type="spellEnd"/>
      <w:r>
        <w:t xml:space="preserve"> tradycji  reprezentowanej przez </w:t>
      </w:r>
      <w:proofErr w:type="spellStart"/>
      <w:r>
        <w:t>Nussbaum</w:t>
      </w:r>
      <w:proofErr w:type="spellEnd"/>
      <w:r>
        <w:t xml:space="preserve">, w marksistowskiej i </w:t>
      </w:r>
      <w:proofErr w:type="spellStart"/>
      <w:r>
        <w:t>postmarksistowskiej</w:t>
      </w:r>
      <w:proofErr w:type="spellEnd"/>
      <w:r>
        <w:t xml:space="preserve">  tradycji </w:t>
      </w:r>
      <w:proofErr w:type="spellStart"/>
      <w:r>
        <w:t>MacPhersona</w:t>
      </w:r>
      <w:proofErr w:type="spellEnd"/>
      <w:r>
        <w:t xml:space="preserve">, w analitycznej filozofii politycznej, jaką reprezentuje Tomasz </w:t>
      </w:r>
      <w:proofErr w:type="spellStart"/>
      <w:r>
        <w:t>Nagel</w:t>
      </w:r>
      <w:proofErr w:type="spellEnd"/>
      <w:r>
        <w:t>. Prof. Chmielewski podkreślił, że te różne pers</w:t>
      </w:r>
      <w:r>
        <w:t xml:space="preserve">pektywy teoretyczne są zgodne co do rozumienia tego terminu. Prof. Chmielewski podkreślił, że uważa za błąd to, że Habilitant kieruje się stylem pisarskim </w:t>
      </w:r>
      <w:proofErr w:type="spellStart"/>
      <w:r>
        <w:t>Agambena</w:t>
      </w:r>
      <w:proofErr w:type="spellEnd"/>
      <w:r>
        <w:t xml:space="preserve"> w szczególności jego efekciarstwem.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Prof. Chmielewski</w:t>
      </w:r>
      <w:r>
        <w:t xml:space="preserve"> zgodził się również z wieloma krytyczn</w:t>
      </w:r>
      <w:r>
        <w:t xml:space="preserve">ymi uwagami innych recenzentów m.in. z podkreśleniem zbytniej swobody językowej, lekceważeniem innych tradycji starożytnych (np. sofistycznej, cynickiej), które w inny sposób postrzegają rolę państwa i antropologię filozoficzną niż Arystoteles.   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Prof. C</w:t>
      </w:r>
      <w:r>
        <w:rPr>
          <w:b/>
        </w:rPr>
        <w:t>hmielewski</w:t>
      </w:r>
      <w:r>
        <w:t xml:space="preserve"> podkreślił jednak duże zaangażowanie Habilitanta w pracę naukową, choć zdaniem prof. Chmielewskiego jest ona niezdyscyplinowana i zmierza w kierunkach, które są sprzeczne z ustaleniami poważnych autorytetów. Zdaniem prof. </w:t>
      </w:r>
      <w:r>
        <w:lastRenderedPageBreak/>
        <w:t>Chmielewskiego Habilita</w:t>
      </w:r>
      <w:r>
        <w:t xml:space="preserve">nt zbytnio lekceważy w swojej pracy naukowej istniejący dorobek w dziedzinie, którą się zajmuje. Prof. Chmielewski stwierdził jednak, że nie można odmówić dorobkowi Habilitanta pewnej wartości. Podkreślił też, że zaangażowanie Habilitanta przekłada się na </w:t>
      </w:r>
      <w:r>
        <w:t>liczne publikacje i aktywności akademickie i naukowe.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Prof. Chmielewski</w:t>
      </w:r>
      <w:r>
        <w:t xml:space="preserve"> przyznał, że decyzja o głosowaniu przeciwko zwróceniu się do Rady o nadanie stopnia doktora habilitowanego dr. </w:t>
      </w:r>
      <w:proofErr w:type="spellStart"/>
      <w:r>
        <w:t>Dimitrijeviciowi</w:t>
      </w:r>
      <w:proofErr w:type="spellEnd"/>
      <w:r>
        <w:t xml:space="preserve"> nie była dla niego łatwa. Prof. Chmielewski wyraził opin</w:t>
      </w:r>
      <w:r>
        <w:t>ię, że Habilitant wydaje się oddany pracy filozoficznej, choć nie został dobrze pokierowany, a w szczególności, że brakowało mu konfrontacji z głosami krytycznymi. Recenzent wyraził przypuszczenie, że kontrowersyjna innowacyjność i niekonwencjonalne tłumac</w:t>
      </w:r>
      <w:r>
        <w:t xml:space="preserve">zenia oraz nieakceptowalna swoboda językowa mogą być skutkiem operowania kilkoma językami.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Prof. Chmielewski</w:t>
      </w:r>
      <w:r>
        <w:t xml:space="preserve"> wyjaśnił, że w podejmowaniu tej decyzji kierował się argumentami merytorycznymi, które jego zdaniem są jednak ważniejsze niż zaangażowanie Habilit</w:t>
      </w:r>
      <w:r>
        <w:t>anta w naukę. Prof. Chmielewski podkreślił, że zaangażowanie Habilitanta zasługuje na pewien respekt. Prof. Chmielewski stwierdził jednak, że rozmowa z Habilitantem w trakcie kolokwium habilitacyjnego utwierdziła go w przekonaniu, że zarzuty merytoryczne p</w:t>
      </w:r>
      <w:r>
        <w:t xml:space="preserve">owinny przeważyć w ostatecznej ocenie.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Dr hab. Piotr Świercz</w:t>
      </w:r>
      <w:r>
        <w:t xml:space="preserve"> poinformował, że po przeprowadzonym kolokwium habilitacyjnym był przeciwny przyjęciu pozytywnej opinii w sprawie nadania stopnia doktora habilitowanego dr. </w:t>
      </w:r>
      <w:proofErr w:type="spellStart"/>
      <w:r>
        <w:t>Dimitrijeviciowi</w:t>
      </w:r>
      <w:proofErr w:type="spellEnd"/>
      <w:r>
        <w:t>, choć podjęcie tej de</w:t>
      </w:r>
      <w:r>
        <w:t>cyzji nie było łatwe. Ostatecznie się wstrzymał od głosu z jednej strony ze względu na to, że chciał w ten sposób dać wyraz temu, że docenia też pewne walory pracy Habilitanta, a z drugiej strony ze względu na – jak się okazało błędną – informację, że Komi</w:t>
      </w:r>
      <w:r>
        <w:t xml:space="preserve">sja głosuje bezwzględną większością głosów. Prof. Świercz stwierdził, że nie mógł głosować za przyjęciem pozytywnej opinii ze względów merytorycznych. Zdaniem prof. Świercza w trakcie kolokwium Habilitant w zasadzie unikał odpowiedzi na pytania, a czasami </w:t>
      </w:r>
      <w:r>
        <w:t>udzielał odpowiedzi przeczących wcześniejszym wypowiedziom.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Zdaniem </w:t>
      </w:r>
      <w:r>
        <w:rPr>
          <w:b/>
        </w:rPr>
        <w:t>prof. Świercza</w:t>
      </w:r>
      <w:r>
        <w:t xml:space="preserve"> kolokwium habilitacyjne potwierdziło chaos, którym cechuje się osiągnięcie habilitacyjne dr. </w:t>
      </w:r>
      <w:proofErr w:type="spellStart"/>
      <w:r>
        <w:t>Dimitrijevicia</w:t>
      </w:r>
      <w:proofErr w:type="spellEnd"/>
      <w:r>
        <w:t>. Według prof. Świercza odpowiedziom Habilitanta brakowało podstaw</w:t>
      </w:r>
      <w:r>
        <w:t xml:space="preserve"> merytorycznych i pewnego dystansu, których należałoby oczekiwać od naukowca; odpowiedzi te były raczej motywowane zaangażowaniem społecznym i aksjologicznym. </w:t>
      </w:r>
    </w:p>
    <w:p w:rsidR="003E2805" w:rsidRDefault="00852EDD">
      <w:r>
        <w:rPr>
          <w:b/>
        </w:rPr>
        <w:lastRenderedPageBreak/>
        <w:t>Prof. Świercz</w:t>
      </w:r>
      <w:r>
        <w:t xml:space="preserve"> przyznał, że miał już podobne wątpliwości na etapie recenzowania osiągnięcia habil</w:t>
      </w:r>
      <w:r>
        <w:t xml:space="preserve">itacyjnego dr. </w:t>
      </w:r>
      <w:proofErr w:type="spellStart"/>
      <w:r>
        <w:t>Dimitrijevicia</w:t>
      </w:r>
      <w:proofErr w:type="spellEnd"/>
      <w:r>
        <w:t>. Prof. Świercz zdecydował się jednak docenić ogrom pracy i erudycję Habilitanta. Prof. Świercz zwrócił uwagę, że praca, nawet jeżeli budzi wątpliwości co do rzetelności pewnych analiz, stanowi punkt wyjścia do pogłębienia tema</w:t>
      </w:r>
      <w:r>
        <w:t xml:space="preserve">tu, zwraca uwagę na pewien aspekt rzadko występujący w polskiej literaturze filozofii polityki. Przebieg kolokwium skłonił jednak prof. Świercza do negatywnej oceny osiągnięć habilitacyjnych dr. </w:t>
      </w:r>
      <w:proofErr w:type="spellStart"/>
      <w:r>
        <w:t>Dimitrijevicia</w:t>
      </w:r>
      <w:proofErr w:type="spellEnd"/>
      <w:r>
        <w:t>.</w:t>
      </w:r>
    </w:p>
    <w:p w:rsidR="003E2805" w:rsidRDefault="00852EDD">
      <w:r>
        <w:rPr>
          <w:b/>
        </w:rPr>
        <w:t>Przewodnicząca</w:t>
      </w:r>
      <w:r>
        <w:t xml:space="preserve"> zwróciła się do członków Komis</w:t>
      </w:r>
      <w:r>
        <w:t xml:space="preserve">ji Habilitacyjnej: dr. hab. Piotra </w:t>
      </w:r>
      <w:proofErr w:type="spellStart"/>
      <w:r>
        <w:t>Schollenbergera</w:t>
      </w:r>
      <w:proofErr w:type="spellEnd"/>
      <w:r>
        <w:t xml:space="preserve"> i prof. Zbrzeźniak o wyrażenie swojej opinii.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Prof. </w:t>
      </w:r>
      <w:proofErr w:type="spellStart"/>
      <w:r>
        <w:rPr>
          <w:b/>
        </w:rPr>
        <w:t>Schollenberger</w:t>
      </w:r>
      <w:proofErr w:type="spellEnd"/>
      <w:r>
        <w:t xml:space="preserve"> zgodził się z opiniami prof. Chmielewskiego i prof. Świercza. Prof. </w:t>
      </w:r>
      <w:proofErr w:type="spellStart"/>
      <w:r>
        <w:t>Schollenberger</w:t>
      </w:r>
      <w:proofErr w:type="spellEnd"/>
      <w:r>
        <w:t xml:space="preserve"> podjął jednak decyzję o oddaniu głosu za wystąpieniem </w:t>
      </w:r>
      <w:r>
        <w:t xml:space="preserve">do Rady o nadanie dr. </w:t>
      </w:r>
      <w:proofErr w:type="spellStart"/>
      <w:r>
        <w:t>Dimitrijeviciowi</w:t>
      </w:r>
      <w:proofErr w:type="spellEnd"/>
      <w:r>
        <w:t xml:space="preserve"> stopnia doktora habilitowanego. Zdaniem prof. </w:t>
      </w:r>
      <w:proofErr w:type="spellStart"/>
      <w:r>
        <w:t>Schollenbergera</w:t>
      </w:r>
      <w:proofErr w:type="spellEnd"/>
      <w:r>
        <w:t xml:space="preserve"> wątpliwości budzić może brak podkreślenia błędów Habilitanta w recenzjach. Jego zdaniem zarówno recenzje jak i kolokwium było prowadzone w trybie polemiczn</w:t>
      </w:r>
      <w:r>
        <w:t>ym. Zwrócił uwagę, że stanowisko zajmowane przez Habilitanta i sposób udzielania przez niego odpowiedzi prowokowały do dyskusji.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Prof. </w:t>
      </w:r>
      <w:proofErr w:type="spellStart"/>
      <w:r>
        <w:rPr>
          <w:b/>
        </w:rPr>
        <w:t>Schollenberger</w:t>
      </w:r>
      <w:proofErr w:type="spellEnd"/>
      <w:r>
        <w:t xml:space="preserve"> zauważył, że Habilitant stawia ryzykowne tezy interpretacyjne, które prowokują do dyskusji, ale ryzyko to </w:t>
      </w:r>
      <w:r>
        <w:t xml:space="preserve">podejmowane jest w pewnych przemyślanych granicach. Prof. </w:t>
      </w:r>
      <w:proofErr w:type="spellStart"/>
      <w:r>
        <w:t>Schollenberger</w:t>
      </w:r>
      <w:proofErr w:type="spellEnd"/>
      <w:r>
        <w:t xml:space="preserve"> przyznał, że docenia podejmowanie takiego ryzyka przez Habilitanta i uważa, że dorobek dr. </w:t>
      </w:r>
      <w:proofErr w:type="spellStart"/>
      <w:r>
        <w:t>Dimitrijevicia</w:t>
      </w:r>
      <w:proofErr w:type="spellEnd"/>
      <w:r>
        <w:t xml:space="preserve"> zasługuje, aby stać się podstawą do nadania stopnia doktora habilitowanego.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</w:t>
      </w:r>
      <w:r>
        <w:rPr>
          <w:b/>
        </w:rPr>
        <w:t>rof. Zbrzeźniak</w:t>
      </w:r>
      <w:r>
        <w:t xml:space="preserve"> poinformowała, że oddała glos za wystąpieniem do Rady o nadanie dr. </w:t>
      </w:r>
      <w:proofErr w:type="spellStart"/>
      <w:r>
        <w:t>Dimitrijeviciowi</w:t>
      </w:r>
      <w:proofErr w:type="spellEnd"/>
      <w:r>
        <w:t xml:space="preserve"> stopnia doktora habilitowanego. Prof. Zbrzeźniak poinformowała, że mimo pewnych wątpliwości oceniła osiągnięcie habilitacyjne pozytywnie. Prof. Zbrzeźniak </w:t>
      </w:r>
      <w:r>
        <w:t xml:space="preserve">zwróciła uwagę, że Habilitant podjął świadome ryzyko stosując niedookreśloną metodologię, posługując się swobodnym językiem i proponując własne tłumaczenia terminów i fragmentów tekstów.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Prof. Zbrzeźniak</w:t>
      </w:r>
      <w:r>
        <w:t xml:space="preserve"> zauważyła, że gdyby przez innowacyjność rozumieć mo</w:t>
      </w:r>
      <w:r>
        <w:t>żliwość stawiania tez i ich obrony, to monografia Habilitanta jest innowacyjna. Prof. Zbrzeźniak przyznała, że dostrzegalne są niedomogi warsztatowe. Zwróciła jednak też uwagę, że  w znanych dziełach filozoficznych z zakresu filozofii kontynentalnej pojawi</w:t>
      </w:r>
      <w:r>
        <w:t xml:space="preserve">ają się analizy terminologiczne nie spełniające często reguł warsztatowych, a mimo to funkcjonują one jako </w:t>
      </w:r>
      <w:r>
        <w:lastRenderedPageBreak/>
        <w:t xml:space="preserve">bardzo dobre interpretacje filozoficzne, na które powołują się inni filozofowie. Prof. Zbrzeźniak stwierdziła, że nie jest skłonna traktować wymogów </w:t>
      </w:r>
      <w:r>
        <w:t xml:space="preserve">metodologicznych w sposób przesadnie scholarski. Prof. Zbrzeźniak też zwróciła uwagę, że osiągnięcie habilitacyjne dotyczy dyscypliny </w:t>
      </w:r>
      <w:r>
        <w:rPr>
          <w:i/>
        </w:rPr>
        <w:t>filozofia</w:t>
      </w:r>
      <w:r>
        <w:t xml:space="preserve">, a nie </w:t>
      </w:r>
      <w:r>
        <w:rPr>
          <w:i/>
        </w:rPr>
        <w:t>językoznawstwo</w:t>
      </w:r>
      <w:r>
        <w:t>, a odczytywanie pewnych pojęć przez Habilitanta stanowi jego własną interpretację. Można się zastanawiać, czy jest ona przekonująca czy nie, a także czy ją wystarczająco uargumentował czy nie.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Prof. Zbrzeźniak</w:t>
      </w:r>
      <w:r>
        <w:t xml:space="preserve"> doceniła ryzyko, które podjął Habilitant. Jed</w:t>
      </w:r>
      <w:r>
        <w:t xml:space="preserve">nocześnie przyznała, że kwestią dyskusyjną jest to, czy dr </w:t>
      </w:r>
      <w:proofErr w:type="spellStart"/>
      <w:r>
        <w:t>Dimitrijević</w:t>
      </w:r>
      <w:proofErr w:type="spellEnd"/>
      <w:r>
        <w:t xml:space="preserve"> potrafi swych tez bronić. Prof. Zbrzeźniak stwierdziła, że w trakcie kolokwium Habilitant często zapętlał się w powtarzaniu swoich tez zamiast je wyjaśniać. Prof. Zbrzeźniak zwróciła r</w:t>
      </w:r>
      <w:r>
        <w:t xml:space="preserve">ównież uwagę, że język polski nie jest ojczystym językiem Habilitanta. Zauważyła jednocześnie, że książka mogłaby skorzystać na bardziej srogiej korekcie redakcyjnej, która być może wyeliminowałaby wiele niedoskonałości.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Prof. Zbrzeźniak</w:t>
      </w:r>
      <w:r>
        <w:t xml:space="preserve"> stwierdziła jedna</w:t>
      </w:r>
      <w:r>
        <w:t xml:space="preserve">k, że wymienione niedomogi i błędy nie przekreślają wartości osiągnięcia habilitacyjnego dr. </w:t>
      </w:r>
      <w:proofErr w:type="spellStart"/>
      <w:r>
        <w:t>Dimitrijevicia</w:t>
      </w:r>
      <w:proofErr w:type="spellEnd"/>
      <w:r>
        <w:t xml:space="preserve">. 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Przewodnicząca </w:t>
      </w:r>
      <w:r>
        <w:t>otworzyła dyskusję</w:t>
      </w:r>
      <w:r>
        <w:rPr>
          <w:b/>
        </w:rPr>
        <w:t xml:space="preserve"> </w:t>
      </w:r>
      <w:r>
        <w:t>i</w:t>
      </w:r>
      <w:r>
        <w:rPr>
          <w:b/>
        </w:rPr>
        <w:t xml:space="preserve"> </w:t>
      </w:r>
      <w:r>
        <w:t>zwróciła się do członków Rady o uwagi lub pytania.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t xml:space="preserve">O głos poprosił </w:t>
      </w:r>
      <w:r>
        <w:rPr>
          <w:b/>
        </w:rPr>
        <w:t>prof. Chmielewski</w:t>
      </w:r>
      <w:r>
        <w:t xml:space="preserve">, który zwrócił uwagę, że </w:t>
      </w:r>
      <w:r>
        <w:t>istnieje argument za życzliwszą oceną dorobku Habilitanta niż ta, która znalazła odzwierciedlenie w jego głosowaniu. Prof. Chmielewski zauważył, że istnieją pewne analogie w podejściu do teorii filozoficznej Habilitanta i Jacques’a </w:t>
      </w:r>
      <w:proofErr w:type="spellStart"/>
      <w:r>
        <w:t>Rancière’a</w:t>
      </w:r>
      <w:proofErr w:type="spellEnd"/>
      <w:r>
        <w:t xml:space="preserve">. </w:t>
      </w:r>
      <w:r>
        <w:rPr>
          <w:highlight w:val="white"/>
        </w:rPr>
        <w:t>Podejście</w:t>
      </w:r>
      <w:r>
        <w:rPr>
          <w:b/>
          <w:color w:val="FF0000"/>
          <w:highlight w:val="white"/>
        </w:rPr>
        <w:t xml:space="preserve"> </w:t>
      </w:r>
      <w:proofErr w:type="spellStart"/>
      <w:r>
        <w:rPr>
          <w:highlight w:val="white"/>
        </w:rPr>
        <w:t>Ra</w:t>
      </w:r>
      <w:r>
        <w:rPr>
          <w:highlight w:val="white"/>
        </w:rPr>
        <w:t>ncière’a</w:t>
      </w:r>
      <w:proofErr w:type="spellEnd"/>
      <w:r>
        <w:rPr>
          <w:highlight w:val="white"/>
        </w:rPr>
        <w:t xml:space="preserve"> jest, w ocenie prof. Chmielewskiego, </w:t>
      </w:r>
      <w:r>
        <w:t xml:space="preserve">ryzykowne, szokujące, odnoszące się z dużym lekceważeniem do kanonów tradycyjnych interpretacji </w:t>
      </w:r>
      <w:r>
        <w:rPr>
          <w:highlight w:val="white"/>
        </w:rPr>
        <w:t xml:space="preserve">filozoficznych. Prof. Chmielewski zaznaczył, że porównywanie </w:t>
      </w:r>
      <w:proofErr w:type="spellStart"/>
      <w:r>
        <w:rPr>
          <w:highlight w:val="white"/>
        </w:rPr>
        <w:t>Dimitrijevicia</w:t>
      </w:r>
      <w:proofErr w:type="spellEnd"/>
      <w:r>
        <w:rPr>
          <w:highlight w:val="white"/>
        </w:rPr>
        <w:t xml:space="preserve"> do </w:t>
      </w:r>
      <w:proofErr w:type="spellStart"/>
      <w:r>
        <w:rPr>
          <w:highlight w:val="white"/>
        </w:rPr>
        <w:t>Rancière’a</w:t>
      </w:r>
      <w:proofErr w:type="spellEnd"/>
      <w:r>
        <w:rPr>
          <w:highlight w:val="white"/>
        </w:rPr>
        <w:t xml:space="preserve"> jest bardzo ryzykowne, a</w:t>
      </w:r>
      <w:r>
        <w:rPr>
          <w:highlight w:val="white"/>
        </w:rPr>
        <w:t xml:space="preserve">le pewne analogie istnieją, choć </w:t>
      </w:r>
      <w:proofErr w:type="spellStart"/>
      <w:r>
        <w:rPr>
          <w:highlight w:val="white"/>
        </w:rPr>
        <w:t>Rancière</w:t>
      </w:r>
      <w:proofErr w:type="spellEnd"/>
      <w:r>
        <w:rPr>
          <w:highlight w:val="white"/>
        </w:rPr>
        <w:t xml:space="preserve"> lepiej panuje nad tym, co chce powiedzieć aniżeli </w:t>
      </w:r>
      <w:proofErr w:type="spellStart"/>
      <w:r>
        <w:rPr>
          <w:highlight w:val="white"/>
        </w:rPr>
        <w:t>Dimitrijević</w:t>
      </w:r>
      <w:proofErr w:type="spellEnd"/>
      <w:r>
        <w:rPr>
          <w:highlight w:val="white"/>
        </w:rPr>
        <w:t>. Ta różnica znalazła wyraz w kolokwium, które budziło zastrzeżenia.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Prof. Chmielewski</w:t>
      </w:r>
      <w:r>
        <w:t xml:space="preserve"> wyraził opinię, że dzieło Habilitanta, mimo licznych błędów, nie </w:t>
      </w:r>
      <w:r>
        <w:t>pozostawia odbiorcy obojętnym. Prof. Chmielewski stwierdził, że nie zgadza się z entuzjastyczną oceną prof. Bielik-</w:t>
      </w:r>
      <w:proofErr w:type="spellStart"/>
      <w:r>
        <w:t>Robson</w:t>
      </w:r>
      <w:proofErr w:type="spellEnd"/>
      <w:r>
        <w:t>, ale docenia świadome ryzyko podjęte przez Habilitanta.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Wobec braku dalszych głosów w dyskusji, </w:t>
      </w:r>
      <w:r>
        <w:rPr>
          <w:b/>
        </w:rPr>
        <w:t xml:space="preserve">Przewodnicząca </w:t>
      </w:r>
      <w:r>
        <w:t>odczytała opinię prof. dr. hab. Szymona Wróbla, który nie mógł uczestniczyć w posiedzeniu Rady:</w:t>
      </w:r>
    </w:p>
    <w:p w:rsidR="003E2805" w:rsidRDefault="003E280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Moim zdaniem dorobek naukowy Ivana </w:t>
      </w:r>
      <w:proofErr w:type="spellStart"/>
      <w:r>
        <w:t>Dimitrijevicia</w:t>
      </w:r>
      <w:proofErr w:type="spellEnd"/>
      <w:r>
        <w:t xml:space="preserve"> całkowicie spełnia wymagania stawiane w procedurze habilitacyjnej. Jego aktywność publikacyjna, konferencyjna</w:t>
      </w:r>
      <w:r>
        <w:t>, edukacyjna jest więcej niż satysfakcjonująca.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  <w:r>
        <w:t>Główna książka zatytułowana Dysputa o dziele podejmuje zadanie niezwykle trudne, ale też kluczowe dla filozofii, tj. zmierza do zrozumienia, na jakich warunkach możliwa jest „polityka bez dzieła”, tj. polityk</w:t>
      </w:r>
      <w:r>
        <w:t xml:space="preserve">a, która nie byłaby ani „celem samym w sobie”, ani też „środkiem dla innego celu”, ale wiecznym szabasem, praktykowaniem wolności bez z góry wyznaczonego </w:t>
      </w:r>
      <w:proofErr w:type="spellStart"/>
      <w:r>
        <w:t>telosu</w:t>
      </w:r>
      <w:proofErr w:type="spellEnd"/>
      <w:r>
        <w:t xml:space="preserve">. To kluczowe zagadnienie, zarówno praktycznie, jak i teoretycznie. Książka </w:t>
      </w:r>
      <w:proofErr w:type="spellStart"/>
      <w:r>
        <w:t>Dimitrijevicia</w:t>
      </w:r>
      <w:proofErr w:type="spellEnd"/>
      <w:r>
        <w:t xml:space="preserve"> jest </w:t>
      </w:r>
      <w:r>
        <w:t>innowacyjna i erudycyjna. To, co onieśmiela i wprawia w zakłopotanie w tej książce, nawet przygotowanego czytelnika, to jasność i konsekwencja, z jaką autor zmierza do węzłowych rekonstrukcji i rozstrzygnięć.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  <w:proofErr w:type="spellStart"/>
      <w:r>
        <w:t>Dimitrijević</w:t>
      </w:r>
      <w:proofErr w:type="spellEnd"/>
      <w:r>
        <w:t xml:space="preserve"> wychodzi z założenia, że możliwe s</w:t>
      </w:r>
      <w:r>
        <w:t>ą trzy paradygmatyczne rozwiązania „problemu politycznego”, tj. politycznej organizacji życia społecznego. Po pierwsze, możliwa jest polityka teleologiczna, zdefiniowana już przez Platona i Arystotelesa, rozumiana jako organizacja, służąca doprowadzeniu ob</w:t>
      </w:r>
      <w:r>
        <w:t>ywateli do „dobrego życia”. Po drugie, możliwa jest „polityka instrumentalna”, tj. polityka rozumiana jako „urządzenie” optymalizujące realizację pewnego „niepolitycznego celu” – aktywacji warunków wolności, równości, bezpieczeństwa i pokoju, wolności gosp</w:t>
      </w:r>
      <w:r>
        <w:t>odarczej, wyzwolenia maksimum przyjemności, szybkości obrotu kapitału. To w zasadzie paradygmat nowoczesny ustanowiony przez Thomasa Hobbesa i wszystkie następujące po nim teorie kontraktowe. Po trzecie wreszcie, możliwa jest polityka rozumiana jako „desty</w:t>
      </w:r>
      <w:r>
        <w:t xml:space="preserve">tucja dzieła”, jako „czysty środek bez celu”, służący wytwarzaniu warunków dla niepragmatycznej praktyki życia. Praktykowanie życia samego stanowi serce rozważań </w:t>
      </w:r>
      <w:r>
        <w:rPr>
          <w:i/>
        </w:rPr>
        <w:t>Dysputy o dziele</w:t>
      </w:r>
      <w:r>
        <w:t>, która jest dysputą o zawieszeniu dzieła i unieczynnieniu pracy.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  <w:bookmarkStart w:id="4" w:name="_heading=h.2et92p0" w:colFirst="0" w:colLast="0"/>
      <w:bookmarkEnd w:id="4"/>
      <w:r>
        <w:t>To właśnie t</w:t>
      </w:r>
      <w:r>
        <w:t xml:space="preserve">rzecia opcja, szkicowana od wielu lat przez włoskiego filozofa Giorgio </w:t>
      </w:r>
      <w:proofErr w:type="spellStart"/>
      <w:r>
        <w:t>Agambena</w:t>
      </w:r>
      <w:proofErr w:type="spellEnd"/>
      <w:r>
        <w:t xml:space="preserve">, stała się głównym przedmiotem tego „dzieła bez dzieła”, jakim jest książka Ivana </w:t>
      </w:r>
      <w:proofErr w:type="spellStart"/>
      <w:r>
        <w:t>Dimitrijevicia</w:t>
      </w:r>
      <w:proofErr w:type="spellEnd"/>
      <w:r>
        <w:t xml:space="preserve">. Powiedziałbym, zachowując wszystkie proporcje, że książka </w:t>
      </w:r>
      <w:r>
        <w:rPr>
          <w:i/>
        </w:rPr>
        <w:t>Dysputa o dziele</w:t>
      </w:r>
      <w:r>
        <w:t xml:space="preserve">, w </w:t>
      </w:r>
      <w:r>
        <w:t xml:space="preserve">piśmiennictwie polskim, może się okazać najbardziej kompetentnym komentarzem do dzieła </w:t>
      </w:r>
      <w:proofErr w:type="spellStart"/>
      <w:r>
        <w:t>Agambena</w:t>
      </w:r>
      <w:proofErr w:type="spellEnd"/>
      <w:r>
        <w:t xml:space="preserve">, jaki obecnie posiadamy. Książka </w:t>
      </w:r>
      <w:r>
        <w:lastRenderedPageBreak/>
        <w:t xml:space="preserve">Pawła Mościckiego zatytułowana </w:t>
      </w:r>
      <w:r>
        <w:rPr>
          <w:i/>
        </w:rPr>
        <w:t>Idea potencjalności</w:t>
      </w:r>
      <w:r>
        <w:t xml:space="preserve"> poświęcona jest bowiem rekonstrukcji radykalnej potencjalności i pasywności </w:t>
      </w:r>
      <w:r>
        <w:t xml:space="preserve">u autora </w:t>
      </w:r>
      <w:r>
        <w:rPr>
          <w:i/>
        </w:rPr>
        <w:t xml:space="preserve">Homo </w:t>
      </w:r>
      <w:proofErr w:type="spellStart"/>
      <w:r>
        <w:rPr>
          <w:i/>
        </w:rPr>
        <w:t>sacer</w:t>
      </w:r>
      <w:proofErr w:type="spellEnd"/>
      <w:r>
        <w:t xml:space="preserve">, natomiast książka Mikołaja Ratajczaka zatytułowana </w:t>
      </w:r>
      <w:r>
        <w:rPr>
          <w:i/>
        </w:rPr>
        <w:t>Forma życia i dobro wspólne</w:t>
      </w:r>
      <w:r>
        <w:t xml:space="preserve"> próbuje usytuować dzieło </w:t>
      </w:r>
      <w:proofErr w:type="spellStart"/>
      <w:r>
        <w:t>Agambena</w:t>
      </w:r>
      <w:proofErr w:type="spellEnd"/>
      <w:r>
        <w:t xml:space="preserve"> w szerokim spektrum myśli włoskiej. </w:t>
      </w:r>
      <w:proofErr w:type="spellStart"/>
      <w:r>
        <w:t>Dimitrijević</w:t>
      </w:r>
      <w:proofErr w:type="spellEnd"/>
      <w:r>
        <w:t xml:space="preserve"> natomiast skupia się na idei „unieczynnienia” dzieła i wszystkich konsekw</w:t>
      </w:r>
      <w:r>
        <w:t xml:space="preserve">encjach tego procesu, a także jego warunkach początkowych. Powiedziałbym, że </w:t>
      </w:r>
      <w:proofErr w:type="spellStart"/>
      <w:r>
        <w:t>Dimitrijević</w:t>
      </w:r>
      <w:proofErr w:type="spellEnd"/>
      <w:r>
        <w:t xml:space="preserve"> podchodzi do </w:t>
      </w:r>
      <w:proofErr w:type="spellStart"/>
      <w:r>
        <w:t>Agambena</w:t>
      </w:r>
      <w:proofErr w:type="spellEnd"/>
      <w:r>
        <w:t xml:space="preserve"> operacyjnie, a nie przedmiotowo lub pojęciowo. W szczególności jednak </w:t>
      </w:r>
      <w:proofErr w:type="spellStart"/>
      <w:r>
        <w:t>Dimitrijević</w:t>
      </w:r>
      <w:proofErr w:type="spellEnd"/>
      <w:r>
        <w:t xml:space="preserve"> czyta </w:t>
      </w:r>
      <w:proofErr w:type="spellStart"/>
      <w:r>
        <w:t>Agambena</w:t>
      </w:r>
      <w:proofErr w:type="spellEnd"/>
      <w:r>
        <w:t xml:space="preserve"> w </w:t>
      </w:r>
      <w:proofErr w:type="spellStart"/>
      <w:r>
        <w:t>lineażu</w:t>
      </w:r>
      <w:proofErr w:type="spellEnd"/>
      <w:r>
        <w:t xml:space="preserve"> długiej listy filozofów, którzy zaró</w:t>
      </w:r>
      <w:r>
        <w:t xml:space="preserve">wno stanowią punkt wyjścia dla debaty o dziele, takich jak Arystoteles, Hobbes czy Spinoza, z drugiej zaś strony stanowią „przedmiot” korekty interpretacyjnej, dzięki której widzimy tych klasyków z zupełnie innej perspektywy. </w:t>
      </w:r>
      <w:proofErr w:type="spellStart"/>
      <w:r>
        <w:t>Dimitrijević</w:t>
      </w:r>
      <w:proofErr w:type="spellEnd"/>
      <w:r>
        <w:t xml:space="preserve"> zatem krąży „wokó</w:t>
      </w:r>
      <w:r>
        <w:t xml:space="preserve">ł” i drąży „w” kanonicznych tekstach filozoficznych – Platońskich dialogach, </w:t>
      </w:r>
      <w:r>
        <w:rPr>
          <w:i/>
        </w:rPr>
        <w:t>Metafizyce</w:t>
      </w:r>
      <w:r>
        <w:t xml:space="preserve"> Arystotelesa, w traktacie</w:t>
      </w:r>
      <w:r>
        <w:rPr>
          <w:i/>
        </w:rPr>
        <w:t xml:space="preserve"> O mocy Boga</w:t>
      </w:r>
      <w:r>
        <w:t xml:space="preserve"> Tomasza z Akwinu, </w:t>
      </w:r>
      <w:r>
        <w:rPr>
          <w:i/>
        </w:rPr>
        <w:t>Lewiatanie</w:t>
      </w:r>
      <w:r>
        <w:t xml:space="preserve"> Hobbesa, </w:t>
      </w:r>
      <w:r>
        <w:rPr>
          <w:i/>
        </w:rPr>
        <w:t>Umowie społecznej</w:t>
      </w:r>
      <w:r>
        <w:t xml:space="preserve"> Rousseau, </w:t>
      </w:r>
      <w:r>
        <w:rPr>
          <w:i/>
        </w:rPr>
        <w:t>Dyktaturze</w:t>
      </w:r>
      <w:r>
        <w:t xml:space="preserve"> Schmitta, </w:t>
      </w:r>
      <w:r>
        <w:rPr>
          <w:i/>
        </w:rPr>
        <w:t>Kondycji ludzkiej</w:t>
      </w:r>
      <w:r>
        <w:t xml:space="preserve"> Arendt, </w:t>
      </w:r>
      <w:r>
        <w:rPr>
          <w:i/>
        </w:rPr>
        <w:t>Nadzorować i kara</w:t>
      </w:r>
      <w:r>
        <w:rPr>
          <w:i/>
        </w:rPr>
        <w:t>ć</w:t>
      </w:r>
      <w:r>
        <w:t xml:space="preserve"> Foucault.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Książka </w:t>
      </w:r>
      <w:proofErr w:type="spellStart"/>
      <w:r>
        <w:t>Dimitrijevicia</w:t>
      </w:r>
      <w:proofErr w:type="spellEnd"/>
      <w:r>
        <w:t xml:space="preserve"> nie wyczerpuje się jednak na kwestiach politycznych, śmiało podejmuje także, a może przede wszystkim, kwestie etyczne i ontologiczne. </w:t>
      </w:r>
      <w:proofErr w:type="spellStart"/>
      <w:r>
        <w:t>Dimitrijević</w:t>
      </w:r>
      <w:proofErr w:type="spellEnd"/>
      <w:r>
        <w:t xml:space="preserve">, jest w takim samym stopniu uczniem </w:t>
      </w:r>
      <w:proofErr w:type="spellStart"/>
      <w:r>
        <w:t>Agambena</w:t>
      </w:r>
      <w:proofErr w:type="spellEnd"/>
      <w:r>
        <w:t xml:space="preserve">, co </w:t>
      </w:r>
      <w:proofErr w:type="spellStart"/>
      <w:r>
        <w:t>Agamben</w:t>
      </w:r>
      <w:proofErr w:type="spellEnd"/>
      <w:r>
        <w:t xml:space="preserve"> Arystotelesa, stą</w:t>
      </w:r>
      <w:r>
        <w:t xml:space="preserve">d autor wraca do klasycznych pytań o wartości, o cnoty, dziś, tj. w czasach „uogólnionego nihilizmu”, już rzadko odnoszonych. </w:t>
      </w:r>
      <w:proofErr w:type="spellStart"/>
      <w:r>
        <w:t>Dimitrijević</w:t>
      </w:r>
      <w:proofErr w:type="spellEnd"/>
      <w:r>
        <w:t xml:space="preserve"> pyta zatem: jakiego dobra warto poszukiwać? Jakie dobro służy państwu? Jakie dobro czyni politykę szlachetną? I zadaj</w:t>
      </w:r>
      <w:r>
        <w:t>e te pytania ze stanowczością rzadko obserwowaną.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  <w:bookmarkStart w:id="5" w:name="_heading=h.tyjcwt" w:colFirst="0" w:colLast="0"/>
      <w:bookmarkEnd w:id="5"/>
      <w:r>
        <w:t>Struktura tej książki jest szczególna i powiedziałbym – cyrkularna. Po zarysowaniu wyjściowych aporii i postawieniu kluczowych pytań, autor rekonstruuje z niezwykłą filologiczną kompetencją, pojęcie praktyk</w:t>
      </w:r>
      <w:r>
        <w:t xml:space="preserve">i i dzieła u Arystotelesa, a następnie zwraca się w stronę lektury „dzieła podziału”, czyli tekstów </w:t>
      </w:r>
      <w:proofErr w:type="spellStart"/>
      <w:r>
        <w:t>Agambena</w:t>
      </w:r>
      <w:proofErr w:type="spellEnd"/>
      <w:r>
        <w:t xml:space="preserve">. Po tych wstępnych metodologicznych i filologicznych, warsztatowych przygotowaniach, </w:t>
      </w:r>
      <w:proofErr w:type="spellStart"/>
      <w:r>
        <w:t>Dimitrijević</w:t>
      </w:r>
      <w:proofErr w:type="spellEnd"/>
      <w:r>
        <w:t xml:space="preserve"> zwraca się w stronę świata nowoczesnego tj. lektu</w:t>
      </w:r>
      <w:r>
        <w:t xml:space="preserve">ry Hobbesa i Spinozy oraz tego, co nazywa „cesją dzieła”, która dokonała się u obu myślicieli. Tu kluczowym pojęciem staje się </w:t>
      </w:r>
      <w:proofErr w:type="spellStart"/>
      <w:r>
        <w:rPr>
          <w:i/>
        </w:rPr>
        <w:t>multitudo</w:t>
      </w:r>
      <w:proofErr w:type="spellEnd"/>
      <w:r>
        <w:t xml:space="preserve"> i próba semantycznego zapanowania nad nim. </w:t>
      </w:r>
      <w:proofErr w:type="spellStart"/>
      <w:r>
        <w:rPr>
          <w:i/>
        </w:rPr>
        <w:t>Multitudo</w:t>
      </w:r>
      <w:proofErr w:type="spellEnd"/>
      <w:r>
        <w:t xml:space="preserve"> tłumaczone było przecież wielorako, to zarówno </w:t>
      </w:r>
      <w:r>
        <w:lastRenderedPageBreak/>
        <w:t>masa jak i wielość,</w:t>
      </w:r>
      <w:r>
        <w:t xml:space="preserve"> tłum jak i rzesza, plebs jak i demos, </w:t>
      </w:r>
      <w:proofErr w:type="spellStart"/>
      <w:r>
        <w:t>mop</w:t>
      </w:r>
      <w:proofErr w:type="spellEnd"/>
      <w:r>
        <w:t xml:space="preserve"> jak i </w:t>
      </w:r>
      <w:proofErr w:type="spellStart"/>
      <w:r>
        <w:t>turba</w:t>
      </w:r>
      <w:proofErr w:type="spellEnd"/>
      <w:r>
        <w:t xml:space="preserve">. Zabawne, że po tych cesjach, przejściach, przesileniach, przewartościowaniach, wracamy na koniec do klasyków, tj. do wstępnej aporii, tj. do I księgi </w:t>
      </w:r>
      <w:r>
        <w:rPr>
          <w:i/>
        </w:rPr>
        <w:t>Państwa</w:t>
      </w:r>
      <w:r>
        <w:t xml:space="preserve"> Platona i pytania o dzieło i sprawiedliwoś</w:t>
      </w:r>
      <w:r>
        <w:t>ć.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Na koniec powiedziałbym, tym razem wracając wprost do słownika </w:t>
      </w:r>
      <w:proofErr w:type="spellStart"/>
      <w:r>
        <w:t>Agambena</w:t>
      </w:r>
      <w:proofErr w:type="spellEnd"/>
      <w:r>
        <w:t xml:space="preserve">, że </w:t>
      </w:r>
      <w:r>
        <w:rPr>
          <w:i/>
        </w:rPr>
        <w:t>Dysputa o dziele</w:t>
      </w:r>
      <w:r>
        <w:t xml:space="preserve"> niesie wraz ze sobą przesłanie, że byt jest zawsze myślany zgodnie ze swoimi modalnościami, tj. zawsze jest już podzielony i wyartykułowany jako „możliwość, prz</w:t>
      </w:r>
      <w:r>
        <w:t xml:space="preserve">ygodność, konieczność”; byt istnienie zawsze naznaczony tym, że jest „w jakimś stanie”, „chcenia”, „konieczności” czy „potencjalności”. W ramach takiego </w:t>
      </w:r>
      <w:proofErr w:type="spellStart"/>
      <w:r>
        <w:t>modalnościowego</w:t>
      </w:r>
      <w:proofErr w:type="spellEnd"/>
      <w:r>
        <w:t xml:space="preserve"> zinterpretowania bytu, „wola” działa jak operator, którego celem jest umożliwienie opan</w:t>
      </w:r>
      <w:r>
        <w:t>owania tego, co „człowiek może zrobić”, do „czego jest zdolny”. Dzięki woli dokonuje się być może najistotniejsza mutacja w naszej kulturze: przekształcenie „istoty, która może” (jest zdolna, potrafi), która jest w istocie jest starożytny człowiek, w „isto</w:t>
      </w:r>
      <w:r>
        <w:t xml:space="preserve">tę, która chce”, jaką będzie podmiot teologów chrześcijańskich. Świat antyczny przesiąknięty jest arystotelesowską opozycją między </w:t>
      </w:r>
      <w:proofErr w:type="spellStart"/>
      <w:r>
        <w:t>poiēsis</w:t>
      </w:r>
      <w:proofErr w:type="spellEnd"/>
      <w:r>
        <w:t>, która rozpoznaje swoje dzieło (</w:t>
      </w:r>
      <w:proofErr w:type="spellStart"/>
      <w:r>
        <w:t>ergon</w:t>
      </w:r>
      <w:proofErr w:type="spellEnd"/>
      <w:r>
        <w:t xml:space="preserve">) i cel poza sobą, a </w:t>
      </w:r>
      <w:proofErr w:type="spellStart"/>
      <w:r>
        <w:t>praxis</w:t>
      </w:r>
      <w:proofErr w:type="spellEnd"/>
      <w:r>
        <w:t xml:space="preserve"> – działaniem, które ma swój cel w sobie. Cel </w:t>
      </w:r>
      <w:proofErr w:type="spellStart"/>
      <w:r>
        <w:t>poiēsis</w:t>
      </w:r>
      <w:proofErr w:type="spellEnd"/>
      <w:r>
        <w:t xml:space="preserve"> jest poza aktywnością (ten koniec to dzieło), cel </w:t>
      </w:r>
      <w:proofErr w:type="spellStart"/>
      <w:r>
        <w:t>praxis</w:t>
      </w:r>
      <w:proofErr w:type="spellEnd"/>
      <w:r>
        <w:t xml:space="preserve"> nie może być poza nią jednak, ponieważ dobre działanie [</w:t>
      </w:r>
      <w:proofErr w:type="spellStart"/>
      <w:r>
        <w:t>eupraksja</w:t>
      </w:r>
      <w:proofErr w:type="spellEnd"/>
      <w:r>
        <w:t xml:space="preserve">] jest celem dla siebie. I właśnie za pomocą arystotelesowskiej opozycji między </w:t>
      </w:r>
      <w:proofErr w:type="spellStart"/>
      <w:r>
        <w:t>poiēsis</w:t>
      </w:r>
      <w:proofErr w:type="spellEnd"/>
      <w:r>
        <w:t xml:space="preserve"> a </w:t>
      </w:r>
      <w:proofErr w:type="spellStart"/>
      <w:r>
        <w:t>praxis</w:t>
      </w:r>
      <w:proofErr w:type="spellEnd"/>
      <w:r>
        <w:t xml:space="preserve"> </w:t>
      </w:r>
      <w:proofErr w:type="spellStart"/>
      <w:r>
        <w:t>Dimitrijević</w:t>
      </w:r>
      <w:proofErr w:type="spellEnd"/>
      <w:r>
        <w:t xml:space="preserve"> podążając za </w:t>
      </w:r>
      <w:proofErr w:type="spellStart"/>
      <w:r>
        <w:t>Agembenem</w:t>
      </w:r>
      <w:proofErr w:type="spellEnd"/>
      <w:r>
        <w:t>,</w:t>
      </w:r>
      <w:r>
        <w:t xml:space="preserve"> stara się zdefiniować „działanie”.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  <w:bookmarkStart w:id="6" w:name="_heading=h.3dy6vkm" w:colFirst="0" w:colLast="0"/>
      <w:bookmarkEnd w:id="6"/>
      <w:r>
        <w:t xml:space="preserve">Podsumowując wnioski płynące z lektury książki Ivana </w:t>
      </w:r>
      <w:proofErr w:type="spellStart"/>
      <w:r>
        <w:t>Dimitrijevicia</w:t>
      </w:r>
      <w:proofErr w:type="spellEnd"/>
      <w:r>
        <w:t xml:space="preserve"> zatytułowanej </w:t>
      </w:r>
      <w:r>
        <w:rPr>
          <w:i/>
        </w:rPr>
        <w:t>Dysputa o dziele</w:t>
      </w:r>
      <w:r>
        <w:t>, należy przede wszystkim podkreślić, że pojęcie praktyki jawi się tutaj jako miejsce przecięcia się wszystkich kluczowych</w:t>
      </w:r>
      <w:r>
        <w:t xml:space="preserve"> problemów filozofii nowożytnej i starożytnej. Autor słusznie szuka podziału pracy i dzieła, tworzenia i produktu, jako kluczowym podziale i znakomicie argumentuje na rzecz tego, że podział na dzieło i twórczość jest konstytutywny dla zrozumienia nowoczesn</w:t>
      </w:r>
      <w:r>
        <w:t>ości.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  <w:bookmarkStart w:id="7" w:name="_heading=h.1t3h5sf" w:colFirst="0" w:colLast="0"/>
      <w:bookmarkEnd w:id="7"/>
      <w:r>
        <w:t xml:space="preserve">Podkreślałem już, że waga książki Ivana </w:t>
      </w:r>
      <w:proofErr w:type="spellStart"/>
      <w:r>
        <w:t>Dimitrijevicia</w:t>
      </w:r>
      <w:proofErr w:type="spellEnd"/>
      <w:r>
        <w:t xml:space="preserve"> wynika głównie z tego, że mamy tu przemyślaną, dojrzałą rekonstrukcję projektu intelektualnego. Teraz chciałbym podkreślić jeszcze inne zalety tej książki. Najważniejszą z tych zalet upatruję w t</w:t>
      </w:r>
      <w:r>
        <w:t xml:space="preserve">ym, że jest to książka autorska, w której nie mamy do czynienia ze </w:t>
      </w:r>
      <w:r>
        <w:lastRenderedPageBreak/>
        <w:t>zwykłym zestawianiem kolejnych następujących po sobie tekstów, cytatów, interpretacji, ale z twórczo rozwijanymi wątkami i zagadnieniami. Niewykluczone, że najdalszym zamiarem, który przyśw</w:t>
      </w:r>
      <w:r>
        <w:t xml:space="preserve">iecał Ivanowi </w:t>
      </w:r>
      <w:proofErr w:type="spellStart"/>
      <w:r>
        <w:t>Dimitrijeviciowi</w:t>
      </w:r>
      <w:proofErr w:type="spellEnd"/>
      <w:r>
        <w:t xml:space="preserve"> było sprowokowanie dyskusji na temat poszukiwania nowej wizji aktywności ludzkiej oraz nowego rozumienia praktyki.</w:t>
      </w:r>
    </w:p>
    <w:p w:rsidR="003E2805" w:rsidRDefault="003E280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Przewodnicząca </w:t>
      </w:r>
      <w:r>
        <w:t>zwróciła się do członków Rady o pytania, komentarze, uwagi. Wobec braku głosów zarządziła tajn</w:t>
      </w:r>
      <w:r>
        <w:t xml:space="preserve">e głosowanie w sprawie nadania dr. Ivanowi </w:t>
      </w:r>
      <w:proofErr w:type="spellStart"/>
      <w:r>
        <w:t>Dimitrijeviciowi</w:t>
      </w:r>
      <w:proofErr w:type="spellEnd"/>
      <w:r>
        <w:t xml:space="preserve"> stopnia doktora habilitowanego w dziedzinie nauk humanistycznych w dyscyplinie </w:t>
      </w:r>
      <w:r>
        <w:rPr>
          <w:i/>
        </w:rPr>
        <w:t>filozofia</w:t>
      </w:r>
      <w:r>
        <w:t>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</w:pPr>
      <w:r>
        <w:t xml:space="preserve">Wyniki głosowania: </w:t>
      </w:r>
    </w:p>
    <w:tbl>
      <w:tblPr>
        <w:tblStyle w:val="a7"/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6"/>
        <w:gridCol w:w="1757"/>
        <w:gridCol w:w="1317"/>
        <w:gridCol w:w="1463"/>
        <w:gridCol w:w="2050"/>
      </w:tblGrid>
      <w:tr w:rsidR="003E2805">
        <w:trPr>
          <w:trHeight w:val="292"/>
        </w:trPr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uprawnieni do głosowania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oddane głosy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przeciw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wstrzymujące się</w:t>
            </w:r>
          </w:p>
        </w:tc>
      </w:tr>
      <w:tr w:rsidR="003E2805">
        <w:trPr>
          <w:trHeight w:val="432"/>
        </w:trPr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3E2805" w:rsidRDefault="003E2805"/>
    <w:p w:rsidR="003E2805" w:rsidRDefault="00852EDD">
      <w:r>
        <w:t xml:space="preserve">Rada odmówiła nadania stopnia doktora habilitowanego dr. Ivanowi </w:t>
      </w:r>
      <w:proofErr w:type="spellStart"/>
      <w:r>
        <w:t>Dimitrijeviciowi</w:t>
      </w:r>
      <w:proofErr w:type="spellEnd"/>
      <w:r>
        <w:t>.</w:t>
      </w:r>
    </w:p>
    <w:p w:rsidR="003E2805" w:rsidRDefault="00852EDD">
      <w:pPr>
        <w:pStyle w:val="Nagwek1"/>
      </w:pPr>
      <w:r>
        <w:t xml:space="preserve">3. Uchwała w </w:t>
      </w:r>
      <w:r>
        <w:rPr>
          <w:color w:val="222222"/>
        </w:rPr>
        <w:t>sprawie na</w:t>
      </w:r>
      <w:r>
        <w:t xml:space="preserve">dania stopnia doktora habilitowanego dr. Antonio </w:t>
      </w:r>
      <w:proofErr w:type="spellStart"/>
      <w:r>
        <w:t>Vassallo</w:t>
      </w:r>
      <w:proofErr w:type="spellEnd"/>
      <w:r>
        <w:t xml:space="preserve"> (referuje: prof. dr Anna Brożek).</w:t>
      </w:r>
    </w:p>
    <w:p w:rsidR="003E2805" w:rsidRDefault="00852EDD">
      <w:r>
        <w:rPr>
          <w:b/>
        </w:rPr>
        <w:t xml:space="preserve">Przewodnicząca </w:t>
      </w:r>
      <w:r>
        <w:t>zwróciła się z prośbą do prof. dr. hab. Ann</w:t>
      </w:r>
      <w:r>
        <w:t>y Brożek sekretarza Komisji, o przedstawienie prac i uchwały Komisji Habilitacyjnej.</w:t>
      </w:r>
    </w:p>
    <w:p w:rsidR="003E2805" w:rsidRDefault="00852EDD">
      <w:r>
        <w:t xml:space="preserve"> </w:t>
      </w:r>
      <w:r>
        <w:rPr>
          <w:b/>
        </w:rPr>
        <w:t>Prof. Brożek</w:t>
      </w:r>
      <w:r>
        <w:t xml:space="preserve"> poinformowała zebranych, że kolokwium habilitacyjne dr. Antonio </w:t>
      </w:r>
      <w:proofErr w:type="spellStart"/>
      <w:r>
        <w:t>Vassallo</w:t>
      </w:r>
      <w:proofErr w:type="spellEnd"/>
      <w:r>
        <w:t xml:space="preserve"> odbyło się w dniu 20 lutego 2024 r. w formie zdalnej, w języku angielskim. Prof. Bro</w:t>
      </w:r>
      <w:r>
        <w:t xml:space="preserve">żek zaznaczyła, że w kolokwium, które miało charakter publiczny udział wzięło wielu gości, w tym z zagranicy. Prof. Brożek przypomniała, że dr </w:t>
      </w:r>
      <w:proofErr w:type="spellStart"/>
      <w:r>
        <w:t>Vassallo</w:t>
      </w:r>
      <w:proofErr w:type="spellEnd"/>
      <w:r>
        <w:t xml:space="preserve"> złożył do Rady Doskonałości Naukowej wniosek o przeprowadzenie postępowania w sprawie nadania stopnia do</w:t>
      </w:r>
      <w:r>
        <w:t>ktora habilitowanego w dziedzinie nauk humanistycznych w dyscyplinie filozofia na podstawie: Cykl artykułów: „Filozoficzne dociekania dotyczące przestrzeni i czasu”.</w:t>
      </w:r>
    </w:p>
    <w:p w:rsidR="003E2805" w:rsidRDefault="00852EDD">
      <w:r>
        <w:t>Prof. Brożek przypomniała skład Komisji Habilitacyjnej:</w:t>
      </w:r>
    </w:p>
    <w:p w:rsidR="003E2805" w:rsidRDefault="00852E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prof. dr hab. Tadeusz Szubka (Uniwersytet Szczeciński) – przewodniczący;</w:t>
      </w:r>
    </w:p>
    <w:p w:rsidR="003E2805" w:rsidRDefault="00852E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prof. dr hab. Anna Brożek (Uniwersytet Warszawski) – sekretarz;</w:t>
      </w:r>
    </w:p>
    <w:p w:rsidR="003E2805" w:rsidRDefault="00852E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prof. dr hab. Jerzy </w:t>
      </w:r>
      <w:proofErr w:type="spellStart"/>
      <w:r>
        <w:rPr>
          <w:color w:val="000000"/>
        </w:rPr>
        <w:t>Gołosz</w:t>
      </w:r>
      <w:proofErr w:type="spellEnd"/>
      <w:r>
        <w:rPr>
          <w:color w:val="000000"/>
        </w:rPr>
        <w:t xml:space="preserve"> (Uniwersytet Jagielloński w Krakowie) – recenzent;</w:t>
      </w:r>
    </w:p>
    <w:p w:rsidR="003E2805" w:rsidRDefault="00852E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dr hab. Mariusz </w:t>
      </w:r>
      <w:proofErr w:type="spellStart"/>
      <w:r>
        <w:rPr>
          <w:color w:val="000000"/>
        </w:rPr>
        <w:t>Grygianiec</w:t>
      </w:r>
      <w:proofErr w:type="spellEnd"/>
      <w:r>
        <w:rPr>
          <w:color w:val="000000"/>
        </w:rPr>
        <w:t xml:space="preserve"> (Uniwersytet W</w:t>
      </w:r>
      <w:r>
        <w:rPr>
          <w:color w:val="000000"/>
        </w:rPr>
        <w:t>arszawski) – członek Komisji;</w:t>
      </w:r>
    </w:p>
    <w:p w:rsidR="003E2805" w:rsidRDefault="00852E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dr hab. Sławomir </w:t>
      </w:r>
      <w:proofErr w:type="spellStart"/>
      <w:r>
        <w:rPr>
          <w:color w:val="000000"/>
        </w:rPr>
        <w:t>Leciejewski</w:t>
      </w:r>
      <w:proofErr w:type="spellEnd"/>
      <w:r>
        <w:rPr>
          <w:color w:val="000000"/>
        </w:rPr>
        <w:t xml:space="preserve"> (Uniwersytet im. Adama Mickiewicza w Poznaniu) - recenzent;</w:t>
      </w:r>
    </w:p>
    <w:p w:rsidR="003E2805" w:rsidRDefault="00852E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dr Daniele </w:t>
      </w:r>
      <w:proofErr w:type="spellStart"/>
      <w:r>
        <w:rPr>
          <w:color w:val="000000"/>
        </w:rPr>
        <w:t>Oriti</w:t>
      </w:r>
      <w:proofErr w:type="spellEnd"/>
      <w:r>
        <w:rPr>
          <w:color w:val="000000"/>
        </w:rPr>
        <w:t xml:space="preserve"> (Ludwig-</w:t>
      </w:r>
      <w:proofErr w:type="spellStart"/>
      <w:r>
        <w:rPr>
          <w:color w:val="000000"/>
        </w:rPr>
        <w:t>Maximilians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Universität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München</w:t>
      </w:r>
      <w:proofErr w:type="spellEnd"/>
      <w:r>
        <w:rPr>
          <w:color w:val="000000"/>
        </w:rPr>
        <w:t>) – recenzent;</w:t>
      </w:r>
    </w:p>
    <w:p w:rsidR="003E2805" w:rsidRDefault="00852E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prof. dr hab. Wojciech Sady (Uniwersytet Pedagogiczny im. Komisji </w:t>
      </w:r>
      <w:r>
        <w:rPr>
          <w:color w:val="000000"/>
        </w:rPr>
        <w:t xml:space="preserve">Edukacji Narodowej w Krakowie) – recenzent </w:t>
      </w:r>
    </w:p>
    <w:p w:rsidR="003E2805" w:rsidRDefault="00852EDD">
      <w:r>
        <w:t xml:space="preserve">Następnie </w:t>
      </w:r>
      <w:r>
        <w:rPr>
          <w:b/>
        </w:rPr>
        <w:t>prof. Brożek</w:t>
      </w:r>
      <w:r>
        <w:t xml:space="preserve"> przedstawiła osiągnięcia naukowe i dorobek dr. </w:t>
      </w:r>
      <w:proofErr w:type="spellStart"/>
      <w:r>
        <w:t>Vassallo</w:t>
      </w:r>
      <w:proofErr w:type="spellEnd"/>
      <w:r>
        <w:t xml:space="preserve"> oraz najistotniejsze opinie zawarte w recenzjach, przypominając, że trzy recenzje kończyły się konkluzją pozytywną, a recenzja prof. </w:t>
      </w:r>
      <w:proofErr w:type="spellStart"/>
      <w:r>
        <w:t>Sady’ego</w:t>
      </w:r>
      <w:proofErr w:type="spellEnd"/>
      <w:r>
        <w:t xml:space="preserve"> konkluzją negatywną.</w:t>
      </w:r>
    </w:p>
    <w:p w:rsidR="003E2805" w:rsidRDefault="00852EDD">
      <w:r>
        <w:t xml:space="preserve">W dalszej części </w:t>
      </w:r>
      <w:r>
        <w:rPr>
          <w:b/>
        </w:rPr>
        <w:t>prof. Brożek</w:t>
      </w:r>
      <w:r>
        <w:t xml:space="preserve"> przedstawiła przebieg kolokwium habilitacyjnego i wyniki głosowania Komisji Habilitacyjnej. Przypomniała, że sześcioro członków Komisji Habilitacyjnej podjęło decyzję o wystąpieniu do Rady o nadan</w:t>
      </w:r>
      <w:r>
        <w:t xml:space="preserve">ie dr. </w:t>
      </w:r>
      <w:proofErr w:type="spellStart"/>
      <w:r>
        <w:t>Vassallo</w:t>
      </w:r>
      <w:proofErr w:type="spellEnd"/>
      <w:r>
        <w:t xml:space="preserve"> stopnia doktora habilitowanego w dziedzinie nauk humanistycznych w dyscyplinie </w:t>
      </w:r>
      <w:r>
        <w:rPr>
          <w:i/>
        </w:rPr>
        <w:t>filozofia</w:t>
      </w:r>
      <w:r>
        <w:t xml:space="preserve">, a jedna osoba zagłosowała przeciw. </w:t>
      </w:r>
    </w:p>
    <w:p w:rsidR="003E2805" w:rsidRDefault="00852EDD">
      <w:r>
        <w:rPr>
          <w:b/>
        </w:rPr>
        <w:t xml:space="preserve">Przewodnicząca </w:t>
      </w:r>
      <w:r>
        <w:t>zwróciła się do obecnych na posiedzeniu recenzentów i członków Komisji Habilitacyjnych z prośbą o p</w:t>
      </w:r>
      <w:r>
        <w:t>rzedstawienie swoich stanowisk.</w:t>
      </w:r>
    </w:p>
    <w:p w:rsidR="003E2805" w:rsidRDefault="00852EDD">
      <w:r>
        <w:t xml:space="preserve">Jako pierwszy głos zabrał </w:t>
      </w:r>
      <w:r>
        <w:rPr>
          <w:b/>
        </w:rPr>
        <w:t>prof. dr hab. Wojciech Sady</w:t>
      </w:r>
      <w:r>
        <w:t xml:space="preserve">, który przyznał, że znalazł się w trudnej sytuacji, ponieważ ma do czynienia z Habilitantem bardzo aktywnym naukowo w skali ogólnoeuropejskiej, którego artykuły ukazywały się w prestiżowych czasopismach z najwyższej półki światowej takich jak </w:t>
      </w:r>
      <w:proofErr w:type="spellStart"/>
      <w:r>
        <w:rPr>
          <w:i/>
        </w:rPr>
        <w:t>Synthese</w:t>
      </w:r>
      <w:proofErr w:type="spellEnd"/>
      <w:r>
        <w:t xml:space="preserve">, </w:t>
      </w:r>
      <w:proofErr w:type="spellStart"/>
      <w:r>
        <w:rPr>
          <w:i/>
        </w:rPr>
        <w:t>Hi</w:t>
      </w:r>
      <w:r>
        <w:rPr>
          <w:i/>
        </w:rPr>
        <w:t>story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Philosophy</w:t>
      </w:r>
      <w:proofErr w:type="spellEnd"/>
      <w:r>
        <w:rPr>
          <w:i/>
        </w:rPr>
        <w:t xml:space="preserve"> of Science</w:t>
      </w:r>
      <w:r>
        <w:t xml:space="preserve">. Jednak, zdaniem prof. </w:t>
      </w:r>
      <w:proofErr w:type="spellStart"/>
      <w:r>
        <w:t>Sady’ego</w:t>
      </w:r>
      <w:proofErr w:type="spellEnd"/>
      <w:r>
        <w:t>, artykuły stanowiące osiągnięcie naukowe są słabo zrozumiałe, naładowane techniczną terminologią i trudnymi zwrotami, a składają się z ciągu twierdzeń wyjątkowo słabo lub czasem w ogóle ze sobą</w:t>
      </w:r>
      <w:r>
        <w:t xml:space="preserve"> niepowiązanych. Brakuje rozumowań czy uzasadnień tych twierdzeń.</w:t>
      </w:r>
    </w:p>
    <w:p w:rsidR="003E2805" w:rsidRDefault="00852EDD">
      <w:r>
        <w:rPr>
          <w:b/>
        </w:rPr>
        <w:t xml:space="preserve">Prof. Sady </w:t>
      </w:r>
      <w:r>
        <w:t>podkreślił również, że w trakcie kolokwium nie otrzymał od Habilitanta satysfakcjonujących odpowiedzi na cztery pytania dotyczące rozumienia metafizyki, związku metafizyki z fizyk</w:t>
      </w:r>
      <w:r>
        <w:t>ą, znaczenia empirycznie adekwatnej metafizyki a także źródła wzoru metafizycznego przytaczanego w artykułach Habilitanta, o czym pisał w recenzji.</w:t>
      </w:r>
    </w:p>
    <w:p w:rsidR="003E2805" w:rsidRDefault="00852EDD">
      <w:r>
        <w:rPr>
          <w:b/>
        </w:rPr>
        <w:lastRenderedPageBreak/>
        <w:t>Prof. Sady</w:t>
      </w:r>
      <w:r>
        <w:t xml:space="preserve"> stwierdził, że wątpliwości, które zawarł w recenzji, nie zostały wyjaśnione w trakcie kolokwium, </w:t>
      </w:r>
      <w:r>
        <w:t xml:space="preserve">dlatego zdecydował się zagłosować przeciwko wystąpieniu do Rady o nadanie dr. </w:t>
      </w:r>
      <w:proofErr w:type="spellStart"/>
      <w:r>
        <w:t>Vassallo</w:t>
      </w:r>
      <w:proofErr w:type="spellEnd"/>
      <w:r>
        <w:t xml:space="preserve"> stopnia doktora habilitowanego.</w:t>
      </w:r>
    </w:p>
    <w:p w:rsidR="003E2805" w:rsidRDefault="00852EDD">
      <w:r>
        <w:t xml:space="preserve">Następnie głos zabrał </w:t>
      </w:r>
      <w:r>
        <w:rPr>
          <w:b/>
        </w:rPr>
        <w:t>prof. dr hab. Tadeusz Szubka</w:t>
      </w:r>
      <w:r>
        <w:t>, który przyznał, że również miał wątpliwości, czy osiągnięcie habilitacyjne zaliczyć p</w:t>
      </w:r>
      <w:r>
        <w:t xml:space="preserve">owinno się do filozofii fizyki czy metafizyki fizyki. Prof. Szubka bardzo pozytywnie ocenił aktywność naukową Habilitanta, a na decyzje o głosowaniu pozytywnym w sprawie wystąpieniu do Rady o nadanie dr. </w:t>
      </w:r>
      <w:proofErr w:type="spellStart"/>
      <w:r>
        <w:t>Vassallo</w:t>
      </w:r>
      <w:proofErr w:type="spellEnd"/>
      <w:r>
        <w:t xml:space="preserve"> stopnia doktora habilitowanego wpływ miały </w:t>
      </w:r>
      <w:r>
        <w:t xml:space="preserve">trzy pozytywne recenzje. Prof. Szubka zaznaczył też, że spotykał się z wysoką oceną prac dr. </w:t>
      </w:r>
      <w:proofErr w:type="spellStart"/>
      <w:r>
        <w:t>Vassallo</w:t>
      </w:r>
      <w:proofErr w:type="spellEnd"/>
      <w:r>
        <w:t xml:space="preserve"> przez międzynarodowej klasy specjalistów w </w:t>
      </w:r>
      <w:proofErr w:type="spellStart"/>
      <w:r>
        <w:t>poddyscyplinie</w:t>
      </w:r>
      <w:proofErr w:type="spellEnd"/>
      <w:r>
        <w:t xml:space="preserve">, którą zajmuje się dr </w:t>
      </w:r>
      <w:proofErr w:type="spellStart"/>
      <w:r>
        <w:t>Vassallo</w:t>
      </w:r>
      <w:proofErr w:type="spellEnd"/>
      <w:r>
        <w:t>. Prof. Szubka zaznaczył też, że w pełni podziela uwagi formułowan</w:t>
      </w:r>
      <w:r>
        <w:t xml:space="preserve">e przez prof. </w:t>
      </w:r>
      <w:proofErr w:type="spellStart"/>
      <w:r>
        <w:t>Grygiańca</w:t>
      </w:r>
      <w:proofErr w:type="spellEnd"/>
      <w:r>
        <w:t>.</w:t>
      </w:r>
    </w:p>
    <w:p w:rsidR="003E2805" w:rsidRDefault="00852EDD">
      <w:r>
        <w:rPr>
          <w:b/>
        </w:rPr>
        <w:t xml:space="preserve">Dr hab. Mariusz </w:t>
      </w:r>
      <w:proofErr w:type="spellStart"/>
      <w:r>
        <w:rPr>
          <w:b/>
        </w:rPr>
        <w:t>Grygianiec</w:t>
      </w:r>
      <w:proofErr w:type="spellEnd"/>
      <w:r>
        <w:t xml:space="preserve"> przyznał, że jego pozytywna ocena dorobku Habilitanta związana jest w szczególności z wkładem Habilitanta we wskazanie nowej drogi wsparcia relacjonizmu względem dominującego </w:t>
      </w:r>
      <w:proofErr w:type="spellStart"/>
      <w:r>
        <w:t>substantywizmu</w:t>
      </w:r>
      <w:proofErr w:type="spellEnd"/>
      <w:r>
        <w:t xml:space="preserve"> w sporze o sta</w:t>
      </w:r>
      <w:r>
        <w:t xml:space="preserve">tus czasoprzestrzeni. </w:t>
      </w:r>
    </w:p>
    <w:p w:rsidR="003E2805" w:rsidRDefault="00852EDD">
      <w:pPr>
        <w:rPr>
          <w:b/>
        </w:rPr>
      </w:pPr>
      <w:r>
        <w:rPr>
          <w:b/>
        </w:rPr>
        <w:t xml:space="preserve">Prof. </w:t>
      </w:r>
      <w:proofErr w:type="spellStart"/>
      <w:r>
        <w:rPr>
          <w:b/>
        </w:rPr>
        <w:t>Grygianiec</w:t>
      </w:r>
      <w:proofErr w:type="spellEnd"/>
      <w:r>
        <w:rPr>
          <w:b/>
        </w:rPr>
        <w:t xml:space="preserve"> </w:t>
      </w:r>
      <w:r>
        <w:t>zwrócił uwagę, że podczas kolokwium głos zabierali naukowcy z zagranicy, którzy wypowiadali się z pełną aprobatą dla badań Habilitanta.</w:t>
      </w:r>
    </w:p>
    <w:p w:rsidR="003E2805" w:rsidRDefault="00852EDD">
      <w:r>
        <w:rPr>
          <w:b/>
        </w:rPr>
        <w:t xml:space="preserve">Prof. </w:t>
      </w:r>
      <w:proofErr w:type="spellStart"/>
      <w:r>
        <w:rPr>
          <w:b/>
        </w:rPr>
        <w:t>Grygianiec</w:t>
      </w:r>
      <w:proofErr w:type="spellEnd"/>
      <w:r>
        <w:t xml:space="preserve"> stwierdził, że częściowo podziela obawy prof. </w:t>
      </w:r>
      <w:proofErr w:type="spellStart"/>
      <w:r>
        <w:t>Sady’ego</w:t>
      </w:r>
      <w:proofErr w:type="spellEnd"/>
      <w:r>
        <w:t xml:space="preserve">. Wysnuł </w:t>
      </w:r>
      <w:r>
        <w:t xml:space="preserve">jednak przypuszczenie, że te uwagi można byłoby skierować również do innych filozofów fizyki, których dbałość o precyzję w badaniach fizycznych nie przekłada się na dbałość o precyzję w filozofii. Zdaniem prof. </w:t>
      </w:r>
      <w:proofErr w:type="spellStart"/>
      <w:r>
        <w:t>Grygiańca</w:t>
      </w:r>
      <w:proofErr w:type="spellEnd"/>
      <w:r>
        <w:t xml:space="preserve">, dr </w:t>
      </w:r>
      <w:proofErr w:type="spellStart"/>
      <w:r>
        <w:t>Vassallo</w:t>
      </w:r>
      <w:proofErr w:type="spellEnd"/>
      <w:r>
        <w:t xml:space="preserve"> częściowo odpowiedział</w:t>
      </w:r>
      <w:r>
        <w:t xml:space="preserve"> na trzecie pytanie prof. </w:t>
      </w:r>
      <w:proofErr w:type="spellStart"/>
      <w:r>
        <w:t>Sady’ego</w:t>
      </w:r>
      <w:proofErr w:type="spellEnd"/>
      <w:r>
        <w:t xml:space="preserve">, w ramach odpowiedzi na pytanie zadane przez prof. </w:t>
      </w:r>
      <w:proofErr w:type="spellStart"/>
      <w:r>
        <w:t>Grygiańca</w:t>
      </w:r>
      <w:proofErr w:type="spellEnd"/>
      <w:r>
        <w:t xml:space="preserve">.  </w:t>
      </w:r>
    </w:p>
    <w:p w:rsidR="003E2805" w:rsidRDefault="00852EDD">
      <w:r>
        <w:t xml:space="preserve">Na koniec </w:t>
      </w:r>
      <w:r>
        <w:rPr>
          <w:b/>
        </w:rPr>
        <w:t xml:space="preserve">prof. </w:t>
      </w:r>
      <w:proofErr w:type="spellStart"/>
      <w:r>
        <w:rPr>
          <w:b/>
        </w:rPr>
        <w:t>Grygianiec</w:t>
      </w:r>
      <w:proofErr w:type="spellEnd"/>
      <w:r>
        <w:t xml:space="preserve"> poinformował, że mimo pewnych zastrzeżeń metodologicznych pozytywnie ocenia dorobek dr. </w:t>
      </w:r>
      <w:proofErr w:type="spellStart"/>
      <w:r>
        <w:t>Vassallo</w:t>
      </w:r>
      <w:proofErr w:type="spellEnd"/>
      <w:r>
        <w:t xml:space="preserve">. Jeszcze raz zaznaczył, że próbę </w:t>
      </w:r>
      <w:r>
        <w:t xml:space="preserve">ratowania relacjonizmu w sporze ze </w:t>
      </w:r>
      <w:proofErr w:type="spellStart"/>
      <w:r>
        <w:t>substantywizmem</w:t>
      </w:r>
      <w:proofErr w:type="spellEnd"/>
      <w:r>
        <w:t xml:space="preserve"> uznaje za znaczny wkład w tę debatę i w dyscyplinę. </w:t>
      </w:r>
    </w:p>
    <w:p w:rsidR="003E2805" w:rsidRDefault="00852EDD">
      <w:r>
        <w:t xml:space="preserve">Następnie o głos poprosił </w:t>
      </w:r>
      <w:r>
        <w:rPr>
          <w:b/>
        </w:rPr>
        <w:t>prof. Sady</w:t>
      </w:r>
      <w:r>
        <w:t>, który wyraził wątpliwość, czy uczestniczący w kolokwium goście powinni mieć prawo oceniać dorobek Habilitanta. W t</w:t>
      </w:r>
      <w:r>
        <w:t xml:space="preserve">ym wypadku zaproszeni zostali wybitni specjaliści w </w:t>
      </w:r>
      <w:proofErr w:type="spellStart"/>
      <w:r>
        <w:t>poddyscyplinie</w:t>
      </w:r>
      <w:proofErr w:type="spellEnd"/>
      <w:r>
        <w:t xml:space="preserve">. Wątpliwości budzi jednak to, że oceny dorobku Habilitanta dokonują zaproszeni przez niego goście. </w:t>
      </w:r>
    </w:p>
    <w:p w:rsidR="003E2805" w:rsidRDefault="00852EDD">
      <w:r>
        <w:rPr>
          <w:b/>
        </w:rPr>
        <w:lastRenderedPageBreak/>
        <w:t>Przewodnicząca</w:t>
      </w:r>
      <w:r>
        <w:t xml:space="preserve"> przypomniała, że obecni na kolokwium goście mogą brać udział w dyskusji, a</w:t>
      </w:r>
      <w:r>
        <w:t>le nie powinni występować w charakterze recenzentów.</w:t>
      </w:r>
    </w:p>
    <w:p w:rsidR="003E2805" w:rsidRDefault="00852EDD">
      <w:r>
        <w:rPr>
          <w:b/>
        </w:rPr>
        <w:t>Prof. Sady</w:t>
      </w:r>
      <w:r>
        <w:t xml:space="preserve"> zwrócił uwagę, że wypowiedzi gości uczestniczących w kolokwium dr. </w:t>
      </w:r>
      <w:proofErr w:type="spellStart"/>
      <w:r>
        <w:t>Vassallo</w:t>
      </w:r>
      <w:proofErr w:type="spellEnd"/>
      <w:r>
        <w:t xml:space="preserve"> miały charakter opinii i nie powinny być brane pod uwagę przy głosowaniu.</w:t>
      </w:r>
    </w:p>
    <w:p w:rsidR="003E2805" w:rsidRDefault="00852EDD">
      <w:r>
        <w:t xml:space="preserve">Następnie głos zabrała </w:t>
      </w:r>
      <w:r>
        <w:rPr>
          <w:b/>
        </w:rPr>
        <w:t>prof. Brożek</w:t>
      </w:r>
      <w:r>
        <w:t>, która</w:t>
      </w:r>
      <w:r>
        <w:t xml:space="preserve"> zgodziła się z wątpliwością prof. </w:t>
      </w:r>
      <w:proofErr w:type="spellStart"/>
      <w:r>
        <w:t>Sady’ego</w:t>
      </w:r>
      <w:proofErr w:type="spellEnd"/>
      <w:r>
        <w:t xml:space="preserve"> odnośnie wypowiedzi uczestników kolokwium. Zgodziła się też, że te opinie nie powinny być brane pod uwagę przy głosowaniu Komisji. </w:t>
      </w:r>
    </w:p>
    <w:p w:rsidR="003E2805" w:rsidRDefault="00852EDD">
      <w:r>
        <w:t xml:space="preserve">O głos poprosił </w:t>
      </w:r>
      <w:r>
        <w:rPr>
          <w:b/>
        </w:rPr>
        <w:t>prof. dr hab. Tomasz Bigaj</w:t>
      </w:r>
      <w:r>
        <w:t>, który zwrócił uwagę, że na posiedzen</w:t>
      </w:r>
      <w:r>
        <w:t xml:space="preserve">iu Rady nieobecni są pozostali recenzenci dorobku naukowego dr. </w:t>
      </w:r>
      <w:proofErr w:type="spellStart"/>
      <w:r>
        <w:t>Vassallo</w:t>
      </w:r>
      <w:proofErr w:type="spellEnd"/>
      <w:r>
        <w:t xml:space="preserve">, których recenzje zawierały konkluzję pozytywną i nie mogą oni przedstawić członkom Rady swojego stanowiska.  </w:t>
      </w:r>
    </w:p>
    <w:p w:rsidR="003E2805" w:rsidRDefault="00852EDD">
      <w:r>
        <w:rPr>
          <w:b/>
        </w:rPr>
        <w:t>Prof. Bigaj</w:t>
      </w:r>
      <w:r>
        <w:t xml:space="preserve"> podkreślił, że dr </w:t>
      </w:r>
      <w:proofErr w:type="spellStart"/>
      <w:r>
        <w:t>Vassallo</w:t>
      </w:r>
      <w:proofErr w:type="spellEnd"/>
      <w:r>
        <w:t xml:space="preserve"> zajmuje się bardzo specjalistyczną dziedziną filozofią jaką jest filozofia fizyki. Osiągnięcie habilitacyjne dr. </w:t>
      </w:r>
      <w:proofErr w:type="spellStart"/>
      <w:r>
        <w:t>Vassallo</w:t>
      </w:r>
      <w:proofErr w:type="spellEnd"/>
      <w:r>
        <w:t xml:space="preserve"> podlegało natomiast ocenie recenzentów, którzy reprezentują różne dziedziny i poddziedziny filozofii. Prof</w:t>
      </w:r>
      <w:r>
        <w:t xml:space="preserve">. Bigaj zwrócił uwagę, że recenzja dr </w:t>
      </w:r>
      <w:proofErr w:type="spellStart"/>
      <w:r>
        <w:t>Oriti</w:t>
      </w:r>
      <w:proofErr w:type="spellEnd"/>
      <w:r>
        <w:t>, którego zainteresowania badawcze są najbliższe zainteresowaniom badawczym Habilitanta, była entuzjastyczna.</w:t>
      </w:r>
    </w:p>
    <w:p w:rsidR="003E2805" w:rsidRDefault="00852EDD">
      <w:r>
        <w:rPr>
          <w:b/>
        </w:rPr>
        <w:t>Prof. Bigaj</w:t>
      </w:r>
      <w:r>
        <w:t xml:space="preserve"> odniósł się również do wagi czasopism, w których publikował Habilitant. Prof. Bigaj zwrócił</w:t>
      </w:r>
      <w:r>
        <w:t xml:space="preserve"> uwagę, że artykuły publikowane w tak renomowanych czasopismach są poddawane ocenie ekspertów z danej dziedziny.</w:t>
      </w:r>
    </w:p>
    <w:p w:rsidR="003E2805" w:rsidRDefault="00852EDD">
      <w:r>
        <w:rPr>
          <w:b/>
        </w:rPr>
        <w:t>Prof. Bigaj</w:t>
      </w:r>
      <w:r>
        <w:t xml:space="preserve"> zwrócił również uwagę, że w ocenie osiągnięcia naukowego dr. </w:t>
      </w:r>
      <w:proofErr w:type="spellStart"/>
      <w:r>
        <w:t>Vassallo</w:t>
      </w:r>
      <w:proofErr w:type="spellEnd"/>
      <w:r>
        <w:t xml:space="preserve"> stanowiącego cykl artykułów należy wziąć pod uwagę różnice wy</w:t>
      </w:r>
      <w:r>
        <w:t xml:space="preserve">stępujące pomiędzy monografią, a cyklem artykułów pisanych dla wąskiej grupy specjalistów opublikowanych w renomowanych czasopismach.  </w:t>
      </w:r>
    </w:p>
    <w:p w:rsidR="003E2805" w:rsidRDefault="00852EDD">
      <w:r>
        <w:rPr>
          <w:b/>
        </w:rPr>
        <w:t>Prof. Bigaj</w:t>
      </w:r>
      <w:r>
        <w:t xml:space="preserve"> wyraził opinię, że osiągnięcia dr. </w:t>
      </w:r>
      <w:proofErr w:type="spellStart"/>
      <w:r>
        <w:t>Vassallo</w:t>
      </w:r>
      <w:proofErr w:type="spellEnd"/>
      <w:r>
        <w:t xml:space="preserve"> znacznie przekraczają wymogi habilitacyjne i stanowią znaczny wk</w:t>
      </w:r>
      <w:r>
        <w:t>ład w rozwój dyscypliny i byłby zdumiony, gdyby Habilitantowi nie nadano stopnia doktora habilitowanego.</w:t>
      </w:r>
    </w:p>
    <w:p w:rsidR="003E2805" w:rsidRDefault="00852EDD">
      <w:r>
        <w:t xml:space="preserve">Następnie głos zabrał </w:t>
      </w:r>
      <w:r>
        <w:rPr>
          <w:b/>
        </w:rPr>
        <w:t>prof. Szubka</w:t>
      </w:r>
      <w:r>
        <w:t>, który przyznał, że również był zaskoczony tonem wypowiedzi niektórych gości na kolokwium. Prof. Szubka zwrócił uwag</w:t>
      </w:r>
      <w:r>
        <w:t xml:space="preserve">ę, że decyzja o publicznym charakterze kolokwiów habilitacyjnych wynika z </w:t>
      </w:r>
      <w:proofErr w:type="spellStart"/>
      <w:r>
        <w:t>odwołań</w:t>
      </w:r>
      <w:proofErr w:type="spellEnd"/>
      <w:r>
        <w:t xml:space="preserve"> i sporów sądowych o nieprawidłowy przebieg kolokwiów. Odnosząc się do wypowiedzi prof. Bigaja, Prof. Szubka przyznał, że publikowanie artykułów jest bardziej skomplikowane ni</w:t>
      </w:r>
      <w:r>
        <w:t>ż wydanie monografii.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lastRenderedPageBreak/>
        <w:t>Wobec braku dalszych głosów,</w:t>
      </w:r>
      <w:r>
        <w:rPr>
          <w:b/>
        </w:rPr>
        <w:t xml:space="preserve"> Przewodnicząca </w:t>
      </w:r>
      <w:r>
        <w:t xml:space="preserve">zarządziła tajne głosowanie w sprawie nadania dr. Antonio </w:t>
      </w:r>
      <w:proofErr w:type="spellStart"/>
      <w:r>
        <w:t>Vassallo</w:t>
      </w:r>
      <w:proofErr w:type="spellEnd"/>
      <w:r>
        <w:t xml:space="preserve"> stopnia doktora habilitowanego w dziedzinie nauk humanistycznych w dyscyplinie </w:t>
      </w:r>
      <w:r>
        <w:rPr>
          <w:i/>
        </w:rPr>
        <w:t>filozofia</w:t>
      </w:r>
      <w:r>
        <w:t>.</w:t>
      </w:r>
    </w:p>
    <w:p w:rsidR="003E2805" w:rsidRDefault="00852E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</w:pPr>
      <w:r>
        <w:t xml:space="preserve">Wyniki głosowania: </w:t>
      </w:r>
    </w:p>
    <w:tbl>
      <w:tblPr>
        <w:tblStyle w:val="a8"/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6"/>
        <w:gridCol w:w="1757"/>
        <w:gridCol w:w="1317"/>
        <w:gridCol w:w="1463"/>
        <w:gridCol w:w="2050"/>
      </w:tblGrid>
      <w:tr w:rsidR="003E2805">
        <w:trPr>
          <w:trHeight w:val="292"/>
        </w:trPr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uprawnieni d</w:t>
            </w:r>
            <w:r>
              <w:rPr>
                <w:color w:val="000000"/>
                <w:sz w:val="22"/>
                <w:szCs w:val="22"/>
              </w:rPr>
              <w:t>o głosowania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oddane głosy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przeciw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wstrzymujące się</w:t>
            </w:r>
          </w:p>
        </w:tc>
      </w:tr>
      <w:tr w:rsidR="003E2805">
        <w:trPr>
          <w:trHeight w:val="432"/>
        </w:trPr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E2805" w:rsidRDefault="00852E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3E2805" w:rsidRDefault="003E2805"/>
    <w:p w:rsidR="003E2805" w:rsidRDefault="00852EDD">
      <w:pPr>
        <w:ind w:firstLine="709"/>
      </w:pPr>
      <w:r>
        <w:t xml:space="preserve">Rada podjęła decyzję o nadaniu dr. Antonio </w:t>
      </w:r>
      <w:proofErr w:type="spellStart"/>
      <w:r>
        <w:t>Vassallo</w:t>
      </w:r>
      <w:proofErr w:type="spellEnd"/>
      <w:r>
        <w:t xml:space="preserve"> stopnia doktora habilitowanego w dziedzinie nauk humanistycznych w dyscyplinie </w:t>
      </w:r>
      <w:r>
        <w:rPr>
          <w:i/>
        </w:rPr>
        <w:t>filozofia</w:t>
      </w:r>
      <w:r>
        <w:t>.</w:t>
      </w:r>
    </w:p>
    <w:p w:rsidR="003E2805" w:rsidRDefault="003E280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</w:pPr>
    </w:p>
    <w:p w:rsidR="003E2805" w:rsidRDefault="00852EDD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</w:pPr>
      <w:r>
        <w:t>Kolejne dwa punkty posiedzenia Rady w dniu 19.03.2024 r. zostały przełożone z powodu stwierdzenia braku kworum.</w:t>
      </w:r>
    </w:p>
    <w:p w:rsidR="003E2805" w:rsidRDefault="00852EDD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</w:pPr>
      <w:r>
        <w:t xml:space="preserve">Wobec braku głosów w punkcie „Sprawy różne i wolne wnioski”, </w:t>
      </w:r>
      <w:r>
        <w:rPr>
          <w:b/>
        </w:rPr>
        <w:t>Przewodnicząca</w:t>
      </w:r>
      <w:r>
        <w:t xml:space="preserve"> podziękowała członkom Rady za udział w obradach i  zamknęła posiedze</w:t>
      </w:r>
      <w:r>
        <w:t>nie Rady.</w:t>
      </w:r>
    </w:p>
    <w:p w:rsidR="003E2805" w:rsidRDefault="00852EDD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</w:pPr>
      <w:r>
        <w:t xml:space="preserve"> </w:t>
      </w:r>
    </w:p>
    <w:sectPr w:rsidR="003E2805">
      <w:footerReference w:type="even" r:id="rId8"/>
      <w:footerReference w:type="default" r:id="rId9"/>
      <w:footerReference w:type="first" r:id="rId10"/>
      <w:pgSz w:w="11906" w:h="16838"/>
      <w:pgMar w:top="1426" w:right="1411" w:bottom="1890" w:left="1702" w:header="708" w:footer="7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EDD" w:rsidRDefault="00852EDD">
      <w:pPr>
        <w:spacing w:line="240" w:lineRule="auto"/>
      </w:pPr>
      <w:r>
        <w:separator/>
      </w:r>
    </w:p>
  </w:endnote>
  <w:endnote w:type="continuationSeparator" w:id="0">
    <w:p w:rsidR="00852EDD" w:rsidRDefault="00852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805" w:rsidRDefault="00852EDD">
    <w:pPr>
      <w:spacing w:line="259" w:lineRule="auto"/>
      <w:ind w:right="2"/>
      <w:jc w:val="center"/>
    </w:pPr>
    <w:r>
      <w:fldChar w:fldCharType="begin"/>
    </w:r>
    <w:r>
      <w:instrText>PAGE</w:instrText>
    </w:r>
    <w:r>
      <w:fldChar w:fldCharType="end"/>
    </w:r>
    <w:r>
      <w:t xml:space="preserve"> </w:t>
    </w:r>
  </w:p>
  <w:p w:rsidR="003E2805" w:rsidRDefault="00852EDD">
    <w:pPr>
      <w:spacing w:line="259" w:lineRule="auto"/>
      <w:ind w:left="72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805" w:rsidRDefault="00852EDD">
    <w:pPr>
      <w:spacing w:line="259" w:lineRule="auto"/>
      <w:ind w:right="2"/>
      <w:jc w:val="center"/>
    </w:pPr>
    <w:r>
      <w:fldChar w:fldCharType="begin"/>
    </w:r>
    <w:r>
      <w:instrText>PAGE</w:instrText>
    </w:r>
    <w:r w:rsidR="009C0EA3">
      <w:fldChar w:fldCharType="separate"/>
    </w:r>
    <w:r w:rsidR="009C0EA3">
      <w:rPr>
        <w:noProof/>
      </w:rPr>
      <w:t>1</w:t>
    </w:r>
    <w:r>
      <w:fldChar w:fldCharType="end"/>
    </w:r>
    <w:r>
      <w:t xml:space="preserve"> </w:t>
    </w:r>
  </w:p>
  <w:p w:rsidR="003E2805" w:rsidRDefault="00852EDD">
    <w:pPr>
      <w:spacing w:line="259" w:lineRule="auto"/>
      <w:ind w:left="72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805" w:rsidRDefault="00852EDD">
    <w:pPr>
      <w:spacing w:line="259" w:lineRule="auto"/>
      <w:ind w:right="2"/>
      <w:jc w:val="center"/>
    </w:pPr>
    <w:r>
      <w:fldChar w:fldCharType="begin"/>
    </w:r>
    <w:r>
      <w:instrText>PAGE</w:instrText>
    </w:r>
    <w:r>
      <w:fldChar w:fldCharType="end"/>
    </w:r>
    <w:r>
      <w:t xml:space="preserve"> </w:t>
    </w:r>
  </w:p>
  <w:p w:rsidR="003E2805" w:rsidRDefault="00852EDD">
    <w:pPr>
      <w:spacing w:line="259" w:lineRule="auto"/>
      <w:ind w:left="72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EDD" w:rsidRDefault="00852EDD">
      <w:pPr>
        <w:spacing w:line="240" w:lineRule="auto"/>
      </w:pPr>
      <w:r>
        <w:separator/>
      </w:r>
    </w:p>
  </w:footnote>
  <w:footnote w:type="continuationSeparator" w:id="0">
    <w:p w:rsidR="00852EDD" w:rsidRDefault="00852E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B1FE2"/>
    <w:multiLevelType w:val="multilevel"/>
    <w:tmpl w:val="983829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6698D"/>
    <w:multiLevelType w:val="multilevel"/>
    <w:tmpl w:val="01F0B73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F18F4"/>
    <w:multiLevelType w:val="multilevel"/>
    <w:tmpl w:val="FAD21198"/>
    <w:lvl w:ilvl="0">
      <w:start w:val="2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745" w:hanging="360"/>
      </w:pPr>
    </w:lvl>
    <w:lvl w:ilvl="2">
      <w:start w:val="1"/>
      <w:numFmt w:val="lowerRoman"/>
      <w:lvlText w:val="%3."/>
      <w:lvlJc w:val="right"/>
      <w:pPr>
        <w:ind w:left="2465" w:hanging="180"/>
      </w:pPr>
    </w:lvl>
    <w:lvl w:ilvl="3">
      <w:start w:val="1"/>
      <w:numFmt w:val="decimal"/>
      <w:lvlText w:val="%4."/>
      <w:lvlJc w:val="left"/>
      <w:pPr>
        <w:ind w:left="3185" w:hanging="360"/>
      </w:pPr>
    </w:lvl>
    <w:lvl w:ilvl="4">
      <w:start w:val="1"/>
      <w:numFmt w:val="lowerLetter"/>
      <w:lvlText w:val="%5."/>
      <w:lvlJc w:val="left"/>
      <w:pPr>
        <w:ind w:left="3905" w:hanging="360"/>
      </w:pPr>
    </w:lvl>
    <w:lvl w:ilvl="5">
      <w:start w:val="1"/>
      <w:numFmt w:val="lowerRoman"/>
      <w:lvlText w:val="%6."/>
      <w:lvlJc w:val="right"/>
      <w:pPr>
        <w:ind w:left="4625" w:hanging="180"/>
      </w:pPr>
    </w:lvl>
    <w:lvl w:ilvl="6">
      <w:start w:val="1"/>
      <w:numFmt w:val="decimal"/>
      <w:lvlText w:val="%7."/>
      <w:lvlJc w:val="left"/>
      <w:pPr>
        <w:ind w:left="5345" w:hanging="360"/>
      </w:pPr>
    </w:lvl>
    <w:lvl w:ilvl="7">
      <w:start w:val="1"/>
      <w:numFmt w:val="lowerLetter"/>
      <w:lvlText w:val="%8."/>
      <w:lvlJc w:val="left"/>
      <w:pPr>
        <w:ind w:left="6065" w:hanging="360"/>
      </w:pPr>
    </w:lvl>
    <w:lvl w:ilvl="8">
      <w:start w:val="1"/>
      <w:numFmt w:val="lowerRoman"/>
      <w:lvlText w:val="%9."/>
      <w:lvlJc w:val="right"/>
      <w:pPr>
        <w:ind w:left="67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05"/>
    <w:rsid w:val="003E2805"/>
    <w:rsid w:val="00852EDD"/>
    <w:rsid w:val="009C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67781-947F-4489-B033-93D30D4A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tabs>
        <w:tab w:val="left" w:pos="3686"/>
      </w:tabs>
      <w:spacing w:before="600" w:after="240"/>
      <w:ind w:firstLine="0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80" w:after="240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80" w:after="240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line="240" w:lineRule="auto"/>
    </w:pPr>
    <w:tblPr>
      <w:tblStyleRowBandSize w:val="1"/>
      <w:tblStyleColBandSize w:val="1"/>
      <w:tblCellMar>
        <w:top w:w="89" w:type="dxa"/>
        <w:left w:w="130" w:type="dxa"/>
        <w:bottom w:w="15" w:type="dxa"/>
        <w:right w:w="82" w:type="dxa"/>
      </w:tblCellMar>
    </w:tbl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top w:w="89" w:type="dxa"/>
        <w:left w:w="130" w:type="dxa"/>
        <w:bottom w:w="15" w:type="dxa"/>
        <w:right w:w="82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nyWeb">
    <w:name w:val="Normal (Web)"/>
    <w:basedOn w:val="Normalny"/>
    <w:uiPriority w:val="99"/>
    <w:unhideWhenUsed/>
    <w:rsid w:val="007525BE"/>
    <w:pPr>
      <w:spacing w:before="100" w:beforeAutospacing="1" w:after="100" w:afterAutospacing="1" w:line="240" w:lineRule="auto"/>
      <w:ind w:firstLine="0"/>
      <w:jc w:val="left"/>
    </w:pPr>
  </w:style>
  <w:style w:type="paragraph" w:styleId="Akapitzlist">
    <w:name w:val="List Paragraph"/>
    <w:basedOn w:val="Normalny"/>
    <w:uiPriority w:val="34"/>
    <w:qFormat/>
    <w:rsid w:val="00B470BA"/>
    <w:pPr>
      <w:ind w:left="720"/>
      <w:contextualSpacing/>
    </w:pPr>
  </w:style>
  <w:style w:type="character" w:customStyle="1" w:styleId="il">
    <w:name w:val="il"/>
    <w:basedOn w:val="Domylnaczcionkaakapitu"/>
    <w:rsid w:val="000D1E0F"/>
  </w:style>
  <w:style w:type="character" w:customStyle="1" w:styleId="apple-tab-span">
    <w:name w:val="apple-tab-span"/>
    <w:basedOn w:val="Domylnaczcionkaakapitu"/>
    <w:rsid w:val="006C0736"/>
  </w:style>
  <w:style w:type="character" w:styleId="Uwydatnienie">
    <w:name w:val="Emphasis"/>
    <w:basedOn w:val="Domylnaczcionkaakapitu"/>
    <w:uiPriority w:val="20"/>
    <w:qFormat/>
    <w:rsid w:val="005243B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7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7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7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7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7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7D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94DB3"/>
    <w:pPr>
      <w:spacing w:line="240" w:lineRule="auto"/>
      <w:ind w:firstLine="0"/>
      <w:jc w:val="left"/>
    </w:pPr>
  </w:style>
  <w:style w:type="table" w:customStyle="1" w:styleId="a6">
    <w:basedOn w:val="Standardowy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Standardowy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Standardowy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ZwsvkZQmiuXqI7oaqyGuamBgeg==">CgMxLjAyCWguMzBqMHpsbDIJaC4xZm9iOXRlMgloLjN6bnlzaDcyCWguMmV0OTJwMDIIaC50eWpjd3QyCWguM2R5NnZrbTIJaC4xdDNoNXNmOAByITFnSnJ5VDZPc3JjaUtmOF9ZczNnN21yZE9nWlpEaTVnTw==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6667</Words>
  <Characters>40004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Fiałkowska</dc:creator>
  <cp:lastModifiedBy>Aleksandra Fiałkowska</cp:lastModifiedBy>
  <cp:revision>2</cp:revision>
  <dcterms:created xsi:type="dcterms:W3CDTF">2024-08-02T09:20:00Z</dcterms:created>
  <dcterms:modified xsi:type="dcterms:W3CDTF">2024-08-02T09:20:00Z</dcterms:modified>
</cp:coreProperties>
</file>